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2D0041"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5337A9" w:rsidRDefault="00F067C8" w:rsidP="00F067C8">
      <w:pPr>
        <w:tabs>
          <w:tab w:val="left" w:leader="underscore" w:pos="9639"/>
        </w:tabs>
        <w:spacing w:after="0" w:line="240" w:lineRule="auto"/>
        <w:jc w:val="center"/>
        <w:rPr>
          <w:rFonts w:cs="Calibri"/>
          <w:color w:val="FFFFFF" w:themeColor="background1"/>
        </w:rPr>
      </w:pPr>
      <w:r w:rsidRPr="005337A9">
        <w:rPr>
          <w:rFonts w:cs="Calibri"/>
          <w:color w:val="FFFFFF" w:themeColor="background1"/>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01801EC4" w:rsidR="007D1E76" w:rsidRPr="00E74967" w:rsidRDefault="00F16B64" w:rsidP="00CB41C4">
      <w:pPr>
        <w:tabs>
          <w:tab w:val="left" w:leader="underscore" w:pos="9639"/>
        </w:tabs>
        <w:spacing w:after="0" w:line="240" w:lineRule="auto"/>
        <w:jc w:val="both"/>
        <w:rPr>
          <w:rFonts w:cs="Calibri"/>
        </w:rPr>
      </w:pPr>
      <w:r>
        <w:rPr>
          <w:rFonts w:cs="Calibri"/>
        </w:rPr>
        <w:t xml:space="preserve">  </w:t>
      </w: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2D004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1223E428" w14:textId="77777777" w:rsidR="00684909" w:rsidRPr="001A0994" w:rsidRDefault="00684909" w:rsidP="00684909">
      <w:pPr>
        <w:spacing w:after="0" w:line="240" w:lineRule="auto"/>
        <w:jc w:val="both"/>
        <w:rPr>
          <w:rFonts w:asciiTheme="minorHAnsi" w:hAnsiTheme="minorHAnsi" w:cstheme="minorHAnsi"/>
        </w:rPr>
      </w:pPr>
      <w:r w:rsidRPr="001A0994">
        <w:rPr>
          <w:rFonts w:asciiTheme="minorHAnsi" w:hAnsiTheme="minorHAnsi" w:cstheme="minorHAnsi"/>
        </w:rPr>
        <w:t>Con fecha 01 de Febrero de 1986; se crea para prestación de los servicios públicos del Agua Potable, Alcantarillado, Saneamiento y Tratamiento de Aguas Residuales en la cabecera Municipal de Moroleón, Guanajuato un organismo público descentralizado de la Administración Pública Municipal, con personalidad jurídica y patrimonio propios, que tendrá su domicilio en el Municipio de Moroleón, Guanajuato, el cual continúa denominándose “Sistema Municipal de Agua Potable y Alcantarillado de Moroleón”, identificándose con las siglas S.M.A.P.A.M.</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F7FFC72" w14:textId="77777777" w:rsidR="00684909" w:rsidRPr="00BC5342" w:rsidRDefault="00684909" w:rsidP="00684909">
      <w:pPr>
        <w:spacing w:after="0" w:line="240" w:lineRule="auto"/>
        <w:jc w:val="both"/>
        <w:rPr>
          <w:rFonts w:cs="Calibri"/>
        </w:rPr>
      </w:pPr>
      <w:r w:rsidRPr="001A0994">
        <w:rPr>
          <w:rFonts w:asciiTheme="minorHAnsi" w:hAnsiTheme="minorHAnsi" w:cstheme="minorHAnsi"/>
        </w:rPr>
        <w:t xml:space="preserve">Como acontecía en muchas poblaciones del Estado de Guanajuato, Moroleón carecía desde su fundación del servicio de agua potable y para proveerse de este preciado líquido, tan necesario para todas las necesidades de la existencia, el agua se extraía de pozos poco profundos que existían en la mayoría de las casas de la población, los cuales tenían el inconveniente de, que a ellos fueran a dar las filtraciones tanto de la superficie de la tierra como de las fosas sépticas, filtraciones que contaminaban el agua con gérmenes patógenos. A esta circunstancia se debía que en Moroleón fueran. Endémicas la tifoidea, paratifoidea, amibiasis y demás </w:t>
      </w:r>
      <w:r w:rsidRPr="00BC5342">
        <w:rPr>
          <w:rFonts w:cs="Calibri"/>
        </w:rPr>
        <w:t>enfermedades gastrointestinales de origen hídrico, que hacían estragos tremendos especialmente entre los niños; por lo cual el Índice de mortalidad infantil era muy elevado.</w:t>
      </w:r>
    </w:p>
    <w:p w14:paraId="0C046B12" w14:textId="77777777" w:rsidR="00684909" w:rsidRPr="00BC5342" w:rsidRDefault="00684909" w:rsidP="00684909">
      <w:pPr>
        <w:spacing w:after="0" w:line="240" w:lineRule="auto"/>
        <w:jc w:val="both"/>
        <w:rPr>
          <w:rFonts w:cs="Calibri"/>
        </w:rPr>
      </w:pPr>
    </w:p>
    <w:p w14:paraId="208C5A39" w14:textId="77777777" w:rsidR="00684909" w:rsidRPr="00BC5342" w:rsidRDefault="00684909" w:rsidP="00684909">
      <w:pPr>
        <w:spacing w:after="0" w:line="240" w:lineRule="auto"/>
        <w:jc w:val="both"/>
        <w:rPr>
          <w:rFonts w:cs="Calibri"/>
        </w:rPr>
      </w:pPr>
      <w:r w:rsidRPr="00BC5342">
        <w:rPr>
          <w:rFonts w:cs="Calibri"/>
        </w:rPr>
        <w:t>Siendo del todo indispensable la captación de agua potable para uso de la población, en el año de 1943 se constituyó un Comité que se encargara de los trabajos de perforación de un pozo artesiano en un terreno situado al Norte de la ciudad y conocido. Con él nombre de El Ojo de Agüita. Se concibió en un principio la idea de que la construcción de las obras de este servicio de agua potable se llevara a cabo mediante la aportación económica del vecindario y contando con el apoyo del Gobierno del Estado que regenteaba Don Ernesto Hidalgo. El Comité quedo constituido por el señor Dr. Abel Cerna Martínez, como Presidente; Carlos Ortiz Vera, como Vicepresidente; Fidel Garibay G., como Secretario; J. Trinidad Lara, como Tesorero y como Vocales los señores José Orozco Díaz, Aurelio Zavala, J. Eduviges Gaytán, Ramón Escogido, Ramón Gordillo, Jesús Cerna Juárez, Dr. Miguel Cerna Martínez, Dr. Raymundo Yánez, Arnulfo Ortiz, Camilo Ortiz, Emilio Zavala Ramírez, Ildefonso Cerna, José Almanza Dueñas y Maurilio Cerna, quienes desplegaron una gran actividad haciendo labor de convencimiento entre los habitantes de la población y celebrando frecuentes entrevistas con el señor Gobernador del Estado.</w:t>
      </w:r>
    </w:p>
    <w:p w14:paraId="436DF787" w14:textId="77777777" w:rsidR="00684909" w:rsidRPr="00BC5342" w:rsidRDefault="00684909" w:rsidP="00684909">
      <w:pPr>
        <w:spacing w:after="0" w:line="240" w:lineRule="auto"/>
        <w:jc w:val="both"/>
        <w:rPr>
          <w:rFonts w:cs="Calibri"/>
        </w:rPr>
      </w:pPr>
    </w:p>
    <w:p w14:paraId="6CBDC012" w14:textId="77777777" w:rsidR="00684909" w:rsidRPr="00BC5342" w:rsidRDefault="00684909" w:rsidP="00684909">
      <w:pPr>
        <w:spacing w:after="0" w:line="240" w:lineRule="auto"/>
        <w:jc w:val="both"/>
        <w:rPr>
          <w:rFonts w:cs="Calibri"/>
        </w:rPr>
      </w:pPr>
      <w:r w:rsidRPr="00BC5342">
        <w:rPr>
          <w:rFonts w:cs="Calibri"/>
        </w:rPr>
        <w:t>Contando con el respaldo del Gobierno del Estado se hicieron las gestiones ante la Secretaria de Recursos Hidráulicos para que esta dependencia Federal llevara a cabo la construcción del pozo artesiano, siendo financiada la obra por el Banco Nacional Hipotecario Urbano y de Obras Públicas.</w:t>
      </w:r>
    </w:p>
    <w:p w14:paraId="467E5E10" w14:textId="77777777" w:rsidR="00684909" w:rsidRPr="00BC5342" w:rsidRDefault="00684909" w:rsidP="00684909">
      <w:pPr>
        <w:spacing w:after="0" w:line="240" w:lineRule="auto"/>
        <w:jc w:val="both"/>
        <w:rPr>
          <w:rFonts w:cs="Calibri"/>
        </w:rPr>
      </w:pPr>
    </w:p>
    <w:p w14:paraId="78EB5876" w14:textId="77777777" w:rsidR="00684909" w:rsidRPr="00BC5342" w:rsidRDefault="00684909" w:rsidP="00684909">
      <w:pPr>
        <w:spacing w:after="0" w:line="240" w:lineRule="auto"/>
        <w:jc w:val="both"/>
        <w:rPr>
          <w:rFonts w:cs="Calibri"/>
        </w:rPr>
      </w:pPr>
      <w:r w:rsidRPr="00BC5342">
        <w:rPr>
          <w:rFonts w:cs="Calibri"/>
        </w:rPr>
        <w:t>Así se realizó la obra, surgiendo de la profundidad de la tierra el líquido maravilloso. Se abrieron en todas las calles las cepas correspondientes para colocar las tuberías de fierro y se instalaron en las casas que lo solicitaron los aparatos para las tomas de agua y bien pronto con el regocijo de toda la población el agua potable llego a todos los hogares.</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lastRenderedPageBreak/>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EE8DD6F" w14:textId="54F9D0B0" w:rsidR="00B30FC3" w:rsidRDefault="00B30FC3" w:rsidP="00B30FC3">
      <w:pPr>
        <w:tabs>
          <w:tab w:val="left" w:leader="underscore" w:pos="9639"/>
        </w:tabs>
        <w:spacing w:after="0" w:line="240" w:lineRule="auto"/>
        <w:jc w:val="both"/>
        <w:rPr>
          <w:rFonts w:cs="Calibri"/>
        </w:rPr>
      </w:pPr>
    </w:p>
    <w:p w14:paraId="1D21F93D" w14:textId="77777777" w:rsidR="00CA52D8" w:rsidRPr="00CA52D8" w:rsidRDefault="00CA52D8" w:rsidP="00CA52D8">
      <w:pPr>
        <w:tabs>
          <w:tab w:val="left" w:leader="underscore" w:pos="9639"/>
        </w:tabs>
        <w:spacing w:after="0" w:line="240" w:lineRule="auto"/>
        <w:jc w:val="both"/>
        <w:rPr>
          <w:rFonts w:cs="Calibri"/>
        </w:rPr>
      </w:pPr>
      <w:r w:rsidRPr="00CA52D8">
        <w:rPr>
          <w:rFonts w:cs="Calibri"/>
        </w:rPr>
        <w:t>Exposición General de Motivos</w:t>
      </w:r>
    </w:p>
    <w:p w14:paraId="3B63575A" w14:textId="77777777" w:rsidR="00CA52D8" w:rsidRPr="00CA52D8" w:rsidRDefault="00CA52D8" w:rsidP="00CA52D8">
      <w:pPr>
        <w:tabs>
          <w:tab w:val="left" w:leader="underscore" w:pos="9639"/>
        </w:tabs>
        <w:spacing w:after="0" w:line="240" w:lineRule="auto"/>
        <w:jc w:val="both"/>
        <w:rPr>
          <w:rFonts w:cs="Calibri"/>
        </w:rPr>
      </w:pPr>
    </w:p>
    <w:p w14:paraId="450E5028" w14:textId="62B253D8" w:rsidR="00097DAA" w:rsidRDefault="00097DAA" w:rsidP="00097DAA">
      <w:pPr>
        <w:tabs>
          <w:tab w:val="left" w:leader="underscore" w:pos="9639"/>
        </w:tabs>
        <w:spacing w:after="0" w:line="240" w:lineRule="auto"/>
        <w:jc w:val="both"/>
        <w:rPr>
          <w:rFonts w:cs="Calibri"/>
        </w:rPr>
      </w:pPr>
      <w:r w:rsidRPr="00097DAA">
        <w:rPr>
          <w:rFonts w:cs="Calibri"/>
        </w:rPr>
        <w:t>Para cubrir las demandas de servicios de los ciudadanos en cuanto al suministro de agua potable, alcantarillado y tratamiento, SMAPAM debe  tener en funcionamiento una infraestructura hidráulica y sanitaria compuesta por  fuentes de abastecimiento y redes de conducción y distribución con una gasto económico significativo de recursos humanos y materiales, así como los cargos de energía eléctrica usada primordialmente en las actividades de operación para la extracción, siendo necesario mantener anualmente un desarrollo en las tarifas que nos permita lograr los niveles de recaudación que garanticen el gasto corriente y el gasto de inversión que el organismo necesita para seguir atendiendo en forma eficiente a la población del municipio.</w:t>
      </w:r>
    </w:p>
    <w:p w14:paraId="6E476E84" w14:textId="77777777" w:rsidR="007C54AE" w:rsidRPr="00097DAA" w:rsidRDefault="007C54AE" w:rsidP="00097DAA">
      <w:pPr>
        <w:tabs>
          <w:tab w:val="left" w:leader="underscore" w:pos="9639"/>
        </w:tabs>
        <w:spacing w:after="0" w:line="240" w:lineRule="auto"/>
        <w:jc w:val="both"/>
        <w:rPr>
          <w:rFonts w:cs="Calibri"/>
        </w:rPr>
      </w:pPr>
    </w:p>
    <w:p w14:paraId="5125E91E"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Suministro de agua potable de la fracción I</w:t>
      </w:r>
      <w:r w:rsidRPr="00097DAA">
        <w:rPr>
          <w:rFonts w:cs="Calibri"/>
        </w:rPr>
        <w:t xml:space="preserve"> </w:t>
      </w:r>
    </w:p>
    <w:p w14:paraId="366D14E4" w14:textId="4567B11E" w:rsidR="00097DAA" w:rsidRDefault="00097DAA" w:rsidP="00097DAA">
      <w:pPr>
        <w:tabs>
          <w:tab w:val="left" w:leader="underscore" w:pos="9639"/>
        </w:tabs>
        <w:spacing w:after="0" w:line="240" w:lineRule="auto"/>
        <w:jc w:val="both"/>
        <w:rPr>
          <w:rFonts w:cs="Calibri"/>
        </w:rPr>
      </w:pPr>
      <w:r w:rsidRPr="00097DAA">
        <w:rPr>
          <w:rFonts w:cs="Calibri"/>
        </w:rPr>
        <w:t>Aplicando la metodología propuesta por el Congreso del Estado en el sentido de evaluar mediante el incremento ponderado los ajustes viables a las tarifas realizamos el ejercicio y obtuvimos un FRT del 0.61% mensual, con una tasa de ajuste inicial del 3.5% de diciembre del 2024 a enero del 2025.</w:t>
      </w:r>
    </w:p>
    <w:p w14:paraId="3602ACC8" w14:textId="77777777" w:rsidR="007C54AE" w:rsidRPr="00097DAA" w:rsidRDefault="007C54AE" w:rsidP="00097DAA">
      <w:pPr>
        <w:tabs>
          <w:tab w:val="left" w:leader="underscore" w:pos="9639"/>
        </w:tabs>
        <w:spacing w:after="0" w:line="240" w:lineRule="auto"/>
        <w:jc w:val="both"/>
        <w:rPr>
          <w:rFonts w:cs="Calibri"/>
        </w:rPr>
      </w:pPr>
    </w:p>
    <w:p w14:paraId="11C74560" w14:textId="1FAB492D" w:rsidR="00097DAA" w:rsidRDefault="00097DAA" w:rsidP="00097DAA">
      <w:pPr>
        <w:tabs>
          <w:tab w:val="left" w:leader="underscore" w:pos="9639"/>
        </w:tabs>
        <w:spacing w:after="0" w:line="240" w:lineRule="auto"/>
        <w:jc w:val="both"/>
        <w:rPr>
          <w:rFonts w:cs="Calibri"/>
        </w:rPr>
      </w:pPr>
      <w:r w:rsidRPr="00097DAA">
        <w:rPr>
          <w:rFonts w:cs="Calibri"/>
        </w:rPr>
        <w:t>De acuerdo al resultado y basados en la metodología propuesta por el Congreso del estado, nuestra propuesta es de aplicar el 3.5% de incremento de diciembre del 2024 a enero del 2025 y el Factor de Recuperación tarifaria al 0.50% mensual, que para efecto de nuestro esquema de cobros seria del 1.0% bimestral. Como se puede observar, podríamos aplicar hasta el 1.2% bimestral, pero consideramos conveniente aplicar solamente el 1% a fin de que el efecto del ajuste sea menor.</w:t>
      </w:r>
    </w:p>
    <w:p w14:paraId="092318FF" w14:textId="77777777" w:rsidR="007C54AE" w:rsidRPr="00097DAA" w:rsidRDefault="007C54AE" w:rsidP="00097DAA">
      <w:pPr>
        <w:tabs>
          <w:tab w:val="left" w:leader="underscore" w:pos="9639"/>
        </w:tabs>
        <w:spacing w:after="0" w:line="240" w:lineRule="auto"/>
        <w:jc w:val="both"/>
        <w:rPr>
          <w:rFonts w:cs="Calibri"/>
        </w:rPr>
      </w:pPr>
    </w:p>
    <w:p w14:paraId="24BD1F7C" w14:textId="2282935B" w:rsidR="00097DAA" w:rsidRDefault="00097DAA" w:rsidP="00097DAA">
      <w:pPr>
        <w:tabs>
          <w:tab w:val="left" w:leader="underscore" w:pos="9639"/>
        </w:tabs>
        <w:spacing w:after="0" w:line="240" w:lineRule="auto"/>
        <w:jc w:val="both"/>
        <w:rPr>
          <w:rFonts w:cs="Calibri"/>
        </w:rPr>
      </w:pPr>
      <w:r w:rsidRPr="00097DAA">
        <w:rPr>
          <w:rFonts w:cs="Calibri"/>
        </w:rPr>
        <w:t>Adicionalmente no estaríamos aplicando el FRT a la cuota base y con eso se favorecerá a los usuarios que tienen menos consumo al tener incrementos anuales moderados.</w:t>
      </w:r>
    </w:p>
    <w:p w14:paraId="065BBDB0" w14:textId="77777777" w:rsidR="007C54AE" w:rsidRPr="00097DAA" w:rsidRDefault="007C54AE" w:rsidP="00097DAA">
      <w:pPr>
        <w:tabs>
          <w:tab w:val="left" w:leader="underscore" w:pos="9639"/>
        </w:tabs>
        <w:spacing w:after="0" w:line="240" w:lineRule="auto"/>
        <w:jc w:val="both"/>
        <w:rPr>
          <w:rFonts w:cs="Calibri"/>
        </w:rPr>
      </w:pPr>
    </w:p>
    <w:p w14:paraId="066DA6F3" w14:textId="0888C230" w:rsidR="00097DAA" w:rsidRDefault="00097DAA" w:rsidP="00097DAA">
      <w:pPr>
        <w:tabs>
          <w:tab w:val="left" w:leader="underscore" w:pos="9639"/>
        </w:tabs>
        <w:spacing w:after="0" w:line="240" w:lineRule="auto"/>
        <w:jc w:val="both"/>
        <w:rPr>
          <w:rFonts w:cs="Calibri"/>
        </w:rPr>
      </w:pPr>
      <w:r w:rsidRPr="00097DAA">
        <w:rPr>
          <w:rFonts w:cs="Calibri"/>
        </w:rPr>
        <w:t xml:space="preserve">Por ejemplo, los usuarios que consumen 8 metros cúbicos bimestrales estarán pagando en diciembre del 2024 un importe de $198.25 y con el 3.5% de incremento pagaría en enero del 2025 un importe de $205.19, lo que representa un incremento neto de $6.94. </w:t>
      </w:r>
    </w:p>
    <w:p w14:paraId="018E563A" w14:textId="77777777" w:rsidR="007C54AE" w:rsidRPr="00097DAA" w:rsidRDefault="007C54AE" w:rsidP="00097DAA">
      <w:pPr>
        <w:tabs>
          <w:tab w:val="left" w:leader="underscore" w:pos="9639"/>
        </w:tabs>
        <w:spacing w:after="0" w:line="240" w:lineRule="auto"/>
        <w:jc w:val="both"/>
        <w:rPr>
          <w:rFonts w:cs="Calibri"/>
        </w:rPr>
      </w:pPr>
    </w:p>
    <w:p w14:paraId="37AA7605" w14:textId="4C8E97AE" w:rsidR="00097DAA" w:rsidRDefault="00097DAA" w:rsidP="00097DAA">
      <w:pPr>
        <w:tabs>
          <w:tab w:val="left" w:leader="underscore" w:pos="9639"/>
        </w:tabs>
        <w:spacing w:after="0" w:line="240" w:lineRule="auto"/>
        <w:jc w:val="both"/>
        <w:rPr>
          <w:rFonts w:cs="Calibri"/>
        </w:rPr>
      </w:pPr>
      <w:r w:rsidRPr="00097DAA">
        <w:rPr>
          <w:rFonts w:cs="Calibri"/>
        </w:rPr>
        <w:t>Esos mismos usuarios estarían pagando para diciembre del 2025 un importe de $206.21. Si se observa el impacto durante el año es menor ya que de enero 2025 a diciembre del 2025 el incremento mensual será solamente de $1.09.</w:t>
      </w:r>
    </w:p>
    <w:p w14:paraId="155DD94A" w14:textId="77777777" w:rsidR="007C54AE" w:rsidRPr="00097DAA" w:rsidRDefault="007C54AE" w:rsidP="00097DAA">
      <w:pPr>
        <w:tabs>
          <w:tab w:val="left" w:leader="underscore" w:pos="9639"/>
        </w:tabs>
        <w:spacing w:after="0" w:line="240" w:lineRule="auto"/>
        <w:jc w:val="both"/>
        <w:rPr>
          <w:rFonts w:cs="Calibri"/>
        </w:rPr>
      </w:pPr>
    </w:p>
    <w:p w14:paraId="217E6B12" w14:textId="4C659A1D" w:rsidR="00097DAA" w:rsidRDefault="00097DAA" w:rsidP="00097DAA">
      <w:pPr>
        <w:tabs>
          <w:tab w:val="left" w:leader="underscore" w:pos="9639"/>
        </w:tabs>
        <w:spacing w:after="0" w:line="240" w:lineRule="auto"/>
        <w:jc w:val="both"/>
        <w:rPr>
          <w:rFonts w:cs="Calibri"/>
        </w:rPr>
      </w:pPr>
      <w:r w:rsidRPr="00097DAA">
        <w:rPr>
          <w:rFonts w:cs="Calibri"/>
        </w:rPr>
        <w:t>El incremento del 3.5% de diciembre del 2024 a enero del 2025 es aplicable a los giros domésticos, comerciales, industriales y mixtos, todos contenidos en la fracción I y de la misma forma les aplicaría el FRT del 1% bimestral. Para todos estos giros no se aplicaría el FRT a la cuota base, excepto para los usuarios de CEPIO donde se incrementa en un 4% con el FRT al 1% bimestral tanto a la cuota base como al cargo variable.</w:t>
      </w:r>
    </w:p>
    <w:p w14:paraId="70D62725" w14:textId="77777777" w:rsidR="007C54AE" w:rsidRPr="00097DAA" w:rsidRDefault="007C54AE" w:rsidP="00097DAA">
      <w:pPr>
        <w:tabs>
          <w:tab w:val="left" w:leader="underscore" w:pos="9639"/>
        </w:tabs>
        <w:spacing w:after="0" w:line="240" w:lineRule="auto"/>
        <w:jc w:val="both"/>
        <w:rPr>
          <w:rFonts w:cs="Calibri"/>
        </w:rPr>
      </w:pPr>
    </w:p>
    <w:p w14:paraId="09DE4F6F"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Dentro de la fracción I se adiciona un texto para definir el alcance de la tarifa mixta y es el siguiente:</w:t>
      </w:r>
    </w:p>
    <w:p w14:paraId="309A0A26" w14:textId="62A8A3C3" w:rsidR="00097DAA" w:rsidRDefault="00097DAA" w:rsidP="00097DAA">
      <w:pPr>
        <w:tabs>
          <w:tab w:val="left" w:leader="underscore" w:pos="9639"/>
        </w:tabs>
        <w:spacing w:after="0" w:line="240" w:lineRule="auto"/>
        <w:jc w:val="both"/>
        <w:rPr>
          <w:rFonts w:cs="Calibri"/>
          <w:i/>
          <w:iCs/>
        </w:rPr>
      </w:pPr>
      <w:r w:rsidRPr="00097DAA">
        <w:rPr>
          <w:rFonts w:cs="Calibri"/>
          <w:i/>
          <w:iCs/>
        </w:rPr>
        <w:t>“Cuando en la toma mixta la parte no habitacional use el agua para algún proceso propio de acuerdo con su actividad mercantil, tendrá que realizar un contrato adicional para la actividad No habitacional, quedando el contrato doméstico exclusivamente para la vivienda.”</w:t>
      </w:r>
    </w:p>
    <w:p w14:paraId="7A9F4A46" w14:textId="77777777" w:rsidR="007C54AE" w:rsidRPr="00097DAA" w:rsidRDefault="007C54AE" w:rsidP="00097DAA">
      <w:pPr>
        <w:tabs>
          <w:tab w:val="left" w:leader="underscore" w:pos="9639"/>
        </w:tabs>
        <w:spacing w:after="0" w:line="240" w:lineRule="auto"/>
        <w:jc w:val="both"/>
        <w:rPr>
          <w:rFonts w:cs="Calibri"/>
        </w:rPr>
      </w:pPr>
    </w:p>
    <w:p w14:paraId="20842FD2" w14:textId="4BF168D9" w:rsidR="00097DAA" w:rsidRDefault="00097DAA" w:rsidP="00097DAA">
      <w:pPr>
        <w:tabs>
          <w:tab w:val="left" w:leader="underscore" w:pos="9639"/>
        </w:tabs>
        <w:spacing w:after="0" w:line="240" w:lineRule="auto"/>
        <w:jc w:val="both"/>
        <w:rPr>
          <w:rFonts w:cs="Calibri"/>
        </w:rPr>
      </w:pPr>
      <w:r w:rsidRPr="00097DAA">
        <w:rPr>
          <w:rFonts w:cs="Calibri"/>
        </w:rPr>
        <w:t xml:space="preserve">La tabla de precios para los usuarios mixtos, al igual que los otros giros, se incrementa en un 3.5% parea enero del 2025 y trae un FRT del 1% bimestral, excepto la cuota base que no tiene tasa de ajuste. </w:t>
      </w:r>
    </w:p>
    <w:p w14:paraId="07502BC5" w14:textId="77777777" w:rsidR="007C54AE" w:rsidRPr="00097DAA" w:rsidRDefault="007C54AE" w:rsidP="00097DAA">
      <w:pPr>
        <w:tabs>
          <w:tab w:val="left" w:leader="underscore" w:pos="9639"/>
        </w:tabs>
        <w:spacing w:after="0" w:line="240" w:lineRule="auto"/>
        <w:jc w:val="both"/>
        <w:rPr>
          <w:rFonts w:cs="Calibri"/>
        </w:rPr>
      </w:pPr>
    </w:p>
    <w:p w14:paraId="0A2B40DE" w14:textId="29ABDD5D" w:rsidR="00097DAA" w:rsidRDefault="00097DAA" w:rsidP="00097DAA">
      <w:pPr>
        <w:tabs>
          <w:tab w:val="left" w:leader="underscore" w:pos="9639"/>
        </w:tabs>
        <w:spacing w:after="0" w:line="240" w:lineRule="auto"/>
        <w:jc w:val="both"/>
        <w:rPr>
          <w:rFonts w:cs="Calibri"/>
        </w:rPr>
      </w:pPr>
      <w:r w:rsidRPr="00097DAA">
        <w:rPr>
          <w:rFonts w:cs="Calibri"/>
        </w:rPr>
        <w:t>Pero esa tabla tiene una modificación adicional a partir del metro cúbico 36. Se hace un ajuste a la baja a los precios del metro cúbico 36 al metro cúbico 100 y eso obedece a que existe una falta de proporcionalidad ya que actualmente por 35 metros cúbicos se estarían cobrando $543.20 y por 36 metros cúbicos $700.84. Esto significa que por un solo metro cúbico de diferencia se estarían cobrando $157.64 lo cual no corresponde a la proporcionalidad que deben tener los precios.</w:t>
      </w:r>
    </w:p>
    <w:p w14:paraId="4158067C" w14:textId="77777777" w:rsidR="007C54AE" w:rsidRPr="00097DAA" w:rsidRDefault="007C54AE" w:rsidP="00097DAA">
      <w:pPr>
        <w:tabs>
          <w:tab w:val="left" w:leader="underscore" w:pos="9639"/>
        </w:tabs>
        <w:spacing w:after="0" w:line="240" w:lineRule="auto"/>
        <w:jc w:val="both"/>
        <w:rPr>
          <w:rFonts w:cs="Calibri"/>
        </w:rPr>
      </w:pPr>
    </w:p>
    <w:p w14:paraId="38643341" w14:textId="68FDAABF" w:rsidR="00097DAA" w:rsidRDefault="00097DAA" w:rsidP="00097DAA">
      <w:pPr>
        <w:tabs>
          <w:tab w:val="left" w:leader="underscore" w:pos="9639"/>
        </w:tabs>
        <w:spacing w:after="0" w:line="240" w:lineRule="auto"/>
        <w:jc w:val="both"/>
        <w:rPr>
          <w:rFonts w:cs="Calibri"/>
        </w:rPr>
      </w:pPr>
      <w:r w:rsidRPr="00097DAA">
        <w:rPr>
          <w:rFonts w:cs="Calibri"/>
        </w:rPr>
        <w:t>Visto de otra forma, quien consume 36 metros cúbicos está pagando un 29% más que quien consume 35.</w:t>
      </w:r>
    </w:p>
    <w:p w14:paraId="668C4A36" w14:textId="77777777" w:rsidR="007C54AE" w:rsidRPr="00097DAA" w:rsidRDefault="007C54AE" w:rsidP="00097DAA">
      <w:pPr>
        <w:tabs>
          <w:tab w:val="left" w:leader="underscore" w:pos="9639"/>
        </w:tabs>
        <w:spacing w:after="0" w:line="240" w:lineRule="auto"/>
        <w:jc w:val="both"/>
        <w:rPr>
          <w:rFonts w:cs="Calibri"/>
        </w:rPr>
      </w:pPr>
    </w:p>
    <w:p w14:paraId="770F1DB3" w14:textId="2F07D7E1" w:rsidR="00097DAA" w:rsidRDefault="00097DAA" w:rsidP="00097DAA">
      <w:pPr>
        <w:tabs>
          <w:tab w:val="left" w:leader="underscore" w:pos="9639"/>
        </w:tabs>
        <w:spacing w:after="0" w:line="240" w:lineRule="auto"/>
        <w:jc w:val="both"/>
        <w:rPr>
          <w:rFonts w:cs="Calibri"/>
        </w:rPr>
      </w:pPr>
      <w:r w:rsidRPr="00097DAA">
        <w:rPr>
          <w:rFonts w:cs="Calibri"/>
        </w:rPr>
        <w:t xml:space="preserve">Para resolver esta inconsistencia, proponemos bajar los precios a partir del metro cúbico 36 y de esa forma se corregiría la estructura. Son 154 usuarios los que bajarían de precio y el efecto sería una reducción en la facturación por un importe de $38,634.73 al mes.   </w:t>
      </w:r>
    </w:p>
    <w:p w14:paraId="5AF1998B" w14:textId="77777777" w:rsidR="007C54AE" w:rsidRPr="00097DAA" w:rsidRDefault="007C54AE" w:rsidP="00097DAA">
      <w:pPr>
        <w:tabs>
          <w:tab w:val="left" w:leader="underscore" w:pos="9639"/>
        </w:tabs>
        <w:spacing w:after="0" w:line="240" w:lineRule="auto"/>
        <w:jc w:val="both"/>
        <w:rPr>
          <w:rFonts w:cs="Calibri"/>
        </w:rPr>
      </w:pPr>
    </w:p>
    <w:p w14:paraId="19F35B1C"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Suministro de agua potable a cuotas fijas fracción II</w:t>
      </w:r>
    </w:p>
    <w:p w14:paraId="27FAF70C" w14:textId="019C5C4A" w:rsidR="00097DAA" w:rsidRDefault="00097DAA" w:rsidP="00097DAA">
      <w:pPr>
        <w:tabs>
          <w:tab w:val="left" w:leader="underscore" w:pos="9639"/>
        </w:tabs>
        <w:spacing w:after="0" w:line="240" w:lineRule="auto"/>
        <w:jc w:val="both"/>
        <w:rPr>
          <w:rFonts w:cs="Calibri"/>
        </w:rPr>
      </w:pPr>
      <w:r w:rsidRPr="00097DAA">
        <w:rPr>
          <w:rFonts w:cs="Calibri"/>
        </w:rPr>
        <w:t>Las tarifas para usuarios que tributan a cuota fija tienen incremento del 3.5% y no se aplicaría Factor de Recuperación Tarifaría.</w:t>
      </w:r>
    </w:p>
    <w:p w14:paraId="668D40D9" w14:textId="77777777" w:rsidR="007C54AE" w:rsidRPr="00097DAA" w:rsidRDefault="007C54AE" w:rsidP="00097DAA">
      <w:pPr>
        <w:tabs>
          <w:tab w:val="left" w:leader="underscore" w:pos="9639"/>
        </w:tabs>
        <w:spacing w:after="0" w:line="240" w:lineRule="auto"/>
        <w:jc w:val="both"/>
        <w:rPr>
          <w:rFonts w:cs="Calibri"/>
        </w:rPr>
      </w:pPr>
    </w:p>
    <w:p w14:paraId="61E451D6"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Servicio de alcantarillado Fracción III</w:t>
      </w:r>
    </w:p>
    <w:p w14:paraId="0F246DB7" w14:textId="53FDA6FD" w:rsidR="00097DAA" w:rsidRDefault="00097DAA" w:rsidP="00097DAA">
      <w:pPr>
        <w:tabs>
          <w:tab w:val="left" w:leader="underscore" w:pos="9639"/>
        </w:tabs>
        <w:spacing w:after="0" w:line="240" w:lineRule="auto"/>
        <w:jc w:val="both"/>
        <w:rPr>
          <w:rFonts w:cs="Calibri"/>
        </w:rPr>
      </w:pPr>
      <w:r w:rsidRPr="00097DAA">
        <w:rPr>
          <w:rFonts w:cs="Calibri"/>
        </w:rPr>
        <w:t>En la fracción III, relativa al servicio de alcantarillado se propone mantener la tasa vigente del 20% para 2025. Para los precios por otros servicios relacionados que se contienen en esta fracción, se propone un incremento del 3.5%</w:t>
      </w:r>
    </w:p>
    <w:p w14:paraId="44FC1B44" w14:textId="77777777" w:rsidR="007C54AE" w:rsidRPr="00097DAA" w:rsidRDefault="007C54AE" w:rsidP="00097DAA">
      <w:pPr>
        <w:tabs>
          <w:tab w:val="left" w:leader="underscore" w:pos="9639"/>
        </w:tabs>
        <w:spacing w:after="0" w:line="240" w:lineRule="auto"/>
        <w:jc w:val="both"/>
        <w:rPr>
          <w:rFonts w:cs="Calibri"/>
        </w:rPr>
      </w:pPr>
    </w:p>
    <w:p w14:paraId="0391B956" w14:textId="77777777" w:rsidR="00097DAA" w:rsidRPr="00097DAA" w:rsidRDefault="00097DAA" w:rsidP="00097DAA">
      <w:pPr>
        <w:tabs>
          <w:tab w:val="left" w:leader="underscore" w:pos="9639"/>
        </w:tabs>
        <w:spacing w:after="0" w:line="240" w:lineRule="auto"/>
        <w:jc w:val="both"/>
        <w:rPr>
          <w:rFonts w:cs="Calibri"/>
        </w:rPr>
      </w:pPr>
      <w:r w:rsidRPr="00097DAA">
        <w:rPr>
          <w:rFonts w:cs="Calibri"/>
          <w:b/>
          <w:bCs/>
        </w:rPr>
        <w:t>Servicio de tratamiento Fracción IV</w:t>
      </w:r>
    </w:p>
    <w:p w14:paraId="087FC008" w14:textId="16AED400" w:rsidR="00097DAA" w:rsidRDefault="00097DAA" w:rsidP="00097DAA">
      <w:pPr>
        <w:tabs>
          <w:tab w:val="left" w:leader="underscore" w:pos="9639"/>
        </w:tabs>
        <w:spacing w:after="0" w:line="240" w:lineRule="auto"/>
        <w:jc w:val="both"/>
        <w:rPr>
          <w:rFonts w:cs="Calibri"/>
        </w:rPr>
      </w:pPr>
      <w:r w:rsidRPr="00097DAA">
        <w:rPr>
          <w:rFonts w:cs="Calibri"/>
        </w:rPr>
        <w:t xml:space="preserve">Por lo que respecta al tratamiento de agua residual se propone mantener la tasa del 20%. Solamente se incrementarían un 3.5% los importes de los precios ahí contenidos.   </w:t>
      </w:r>
    </w:p>
    <w:p w14:paraId="4C07C4BD" w14:textId="77777777" w:rsidR="007C54AE" w:rsidRPr="00097DAA" w:rsidRDefault="007C54AE" w:rsidP="00097DAA">
      <w:pPr>
        <w:tabs>
          <w:tab w:val="left" w:leader="underscore" w:pos="9639"/>
        </w:tabs>
        <w:spacing w:after="0" w:line="240" w:lineRule="auto"/>
        <w:jc w:val="both"/>
        <w:rPr>
          <w:rFonts w:cs="Calibri"/>
        </w:rPr>
      </w:pPr>
    </w:p>
    <w:p w14:paraId="27F6B7B1" w14:textId="61135E1A" w:rsidR="00097DAA" w:rsidRDefault="00097DAA" w:rsidP="00097DAA">
      <w:pPr>
        <w:tabs>
          <w:tab w:val="left" w:leader="underscore" w:pos="9639"/>
        </w:tabs>
        <w:spacing w:after="0" w:line="240" w:lineRule="auto"/>
        <w:jc w:val="both"/>
        <w:rPr>
          <w:rFonts w:cs="Calibri"/>
        </w:rPr>
      </w:pPr>
      <w:r w:rsidRPr="00097DAA">
        <w:rPr>
          <w:rFonts w:cs="Calibri"/>
        </w:rPr>
        <w:t xml:space="preserve">Para contratos, instalación de ramal, caja de medición, medidores, descarga de agua residual, servicios administrativos y operativos, todos estos conceptos contenidos en las </w:t>
      </w:r>
      <w:r w:rsidRPr="00097DAA">
        <w:rPr>
          <w:rFonts w:cs="Calibri"/>
          <w:b/>
          <w:bCs/>
        </w:rPr>
        <w:t>fracciones V, VI, VII, VIII, IX, X, XI,</w:t>
      </w:r>
      <w:r w:rsidRPr="00097DAA">
        <w:rPr>
          <w:rFonts w:cs="Calibri"/>
        </w:rPr>
        <w:t xml:space="preserve"> se propone incrementarlos en un 3.5%.</w:t>
      </w:r>
    </w:p>
    <w:p w14:paraId="3F0DE450" w14:textId="77777777" w:rsidR="007C54AE" w:rsidRPr="00097DAA" w:rsidRDefault="007C54AE" w:rsidP="00097DAA">
      <w:pPr>
        <w:tabs>
          <w:tab w:val="left" w:leader="underscore" w:pos="9639"/>
        </w:tabs>
        <w:spacing w:after="0" w:line="240" w:lineRule="auto"/>
        <w:jc w:val="both"/>
        <w:rPr>
          <w:rFonts w:cs="Calibri"/>
        </w:rPr>
      </w:pPr>
    </w:p>
    <w:p w14:paraId="3EF1D166" w14:textId="12FC94E0" w:rsidR="00097DAA" w:rsidRDefault="00097DAA" w:rsidP="00097DAA">
      <w:pPr>
        <w:tabs>
          <w:tab w:val="left" w:leader="underscore" w:pos="9639"/>
        </w:tabs>
        <w:spacing w:after="0" w:line="240" w:lineRule="auto"/>
        <w:jc w:val="both"/>
        <w:rPr>
          <w:rFonts w:cs="Calibri"/>
        </w:rPr>
      </w:pPr>
      <w:r w:rsidRPr="00097DAA">
        <w:rPr>
          <w:rFonts w:cs="Calibri"/>
        </w:rPr>
        <w:t xml:space="preserve">Refiriéndonos específicamente a las </w:t>
      </w:r>
      <w:r w:rsidRPr="00097DAA">
        <w:rPr>
          <w:rFonts w:cs="Calibri"/>
          <w:b/>
          <w:bCs/>
        </w:rPr>
        <w:t>fracciones VI y IX,</w:t>
      </w:r>
      <w:r w:rsidRPr="00097DAA">
        <w:rPr>
          <w:rFonts w:cs="Calibri"/>
        </w:rPr>
        <w:t xml:space="preserve"> relativas a ramales de agua potable y descargas de aguas residuales, respectivamente, los precios para tomas de media pulgada tienen incrementos mayores al 3.5% y las descargas de agua residual para 6 y 8 pulgadas también tienen incrementos superiores al 3.5%.</w:t>
      </w:r>
    </w:p>
    <w:p w14:paraId="7EE8179C" w14:textId="77777777" w:rsidR="007C54AE" w:rsidRPr="00097DAA" w:rsidRDefault="007C54AE" w:rsidP="00097DAA">
      <w:pPr>
        <w:tabs>
          <w:tab w:val="left" w:leader="underscore" w:pos="9639"/>
        </w:tabs>
        <w:spacing w:after="0" w:line="240" w:lineRule="auto"/>
        <w:jc w:val="both"/>
        <w:rPr>
          <w:rFonts w:cs="Calibri"/>
        </w:rPr>
      </w:pPr>
    </w:p>
    <w:p w14:paraId="5DFB1690" w14:textId="28DEAB64" w:rsidR="00097DAA" w:rsidRDefault="00097DAA" w:rsidP="00097DAA">
      <w:pPr>
        <w:tabs>
          <w:tab w:val="left" w:leader="underscore" w:pos="9639"/>
        </w:tabs>
        <w:spacing w:after="0" w:line="240" w:lineRule="auto"/>
        <w:jc w:val="both"/>
        <w:rPr>
          <w:rFonts w:cs="Calibri"/>
        </w:rPr>
      </w:pPr>
      <w:r w:rsidRPr="00097DAA">
        <w:rPr>
          <w:rFonts w:cs="Calibri"/>
        </w:rPr>
        <w:t>En los anexos contenidos en este proyecto se incluyen los análisis de precios unitarios de cada uno de los conceptos que tiene incrementos mayores al 3.5%.</w:t>
      </w:r>
    </w:p>
    <w:p w14:paraId="0161EE94" w14:textId="77777777" w:rsidR="007C54AE" w:rsidRPr="00097DAA" w:rsidRDefault="007C54AE" w:rsidP="00097DAA">
      <w:pPr>
        <w:tabs>
          <w:tab w:val="left" w:leader="underscore" w:pos="9639"/>
        </w:tabs>
        <w:spacing w:after="0" w:line="240" w:lineRule="auto"/>
        <w:jc w:val="both"/>
        <w:rPr>
          <w:rFonts w:cs="Calibri"/>
        </w:rPr>
      </w:pPr>
    </w:p>
    <w:p w14:paraId="049D6A5B" w14:textId="250A4FAD" w:rsidR="00097DAA" w:rsidRDefault="00097DAA" w:rsidP="00097DAA">
      <w:pPr>
        <w:tabs>
          <w:tab w:val="left" w:leader="underscore" w:pos="9639"/>
        </w:tabs>
        <w:spacing w:after="0" w:line="240" w:lineRule="auto"/>
        <w:jc w:val="both"/>
        <w:rPr>
          <w:rFonts w:cs="Calibri"/>
        </w:rPr>
      </w:pPr>
      <w:r w:rsidRPr="00097DAA">
        <w:rPr>
          <w:rFonts w:cs="Calibri"/>
        </w:rPr>
        <w:t xml:space="preserve">En cuanto a la </w:t>
      </w:r>
      <w:r w:rsidRPr="00097DAA">
        <w:rPr>
          <w:rFonts w:cs="Calibri"/>
          <w:b/>
          <w:bCs/>
        </w:rPr>
        <w:t>fracción XII</w:t>
      </w:r>
      <w:r w:rsidRPr="00097DAA">
        <w:rPr>
          <w:rFonts w:cs="Calibri"/>
        </w:rPr>
        <w:t xml:space="preserve"> relativa a la Incorporación a la red hidráulica y sanitaria para fraccionamientos habitacionales, se proponen incrementos del 3.5%.</w:t>
      </w:r>
    </w:p>
    <w:p w14:paraId="179F6443" w14:textId="77777777" w:rsidR="007C54AE" w:rsidRPr="00097DAA" w:rsidRDefault="007C54AE" w:rsidP="00097DAA">
      <w:pPr>
        <w:tabs>
          <w:tab w:val="left" w:leader="underscore" w:pos="9639"/>
        </w:tabs>
        <w:spacing w:after="0" w:line="240" w:lineRule="auto"/>
        <w:jc w:val="both"/>
        <w:rPr>
          <w:rFonts w:cs="Calibri"/>
        </w:rPr>
      </w:pPr>
    </w:p>
    <w:p w14:paraId="2605E8F2"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 xml:space="preserve">En la </w:t>
      </w:r>
      <w:r w:rsidRPr="00097DAA">
        <w:rPr>
          <w:rFonts w:cs="Calibri"/>
          <w:b/>
          <w:bCs/>
        </w:rPr>
        <w:t>fracción XIII</w:t>
      </w:r>
      <w:r w:rsidRPr="00097DAA">
        <w:rPr>
          <w:rFonts w:cs="Calibri"/>
        </w:rPr>
        <w:t xml:space="preserve"> de Servicios operativos y administrativos para desarrollos inmobiliarios de todos los giros se proponen incrementos del 3.5%.</w:t>
      </w:r>
    </w:p>
    <w:p w14:paraId="4BC6551E" w14:textId="58D61719" w:rsidR="00097DAA" w:rsidRPr="00097DAA" w:rsidRDefault="00097DAA" w:rsidP="00097DAA">
      <w:pPr>
        <w:tabs>
          <w:tab w:val="left" w:leader="underscore" w:pos="9639"/>
        </w:tabs>
        <w:spacing w:after="0" w:line="240" w:lineRule="auto"/>
        <w:jc w:val="both"/>
        <w:rPr>
          <w:rFonts w:cs="Calibri"/>
        </w:rPr>
      </w:pPr>
    </w:p>
    <w:p w14:paraId="12BC4B80"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lastRenderedPageBreak/>
        <w:t xml:space="preserve">Para el cobro por derechos de Incorporaciones no habitacionales de la fracción XIV se proponen incrementos del 3.5% y se adiciona un texto mediante el cual se contempla el pago por derechos de tratamiento que actualmente no se aplican a los usuarios de otros usos. Esta medida es necesaria porque los usuarios de giros diferentes al doméstico tributan actualmente solo lo correspondiente a agua potable y alcantarillado y se les exime de la obligación de hacer el pago por derechos de tratamiento a fin de compensar lo que representa para el SMAPAM el aumento de volumen de tratamiento del agua residual proveniente de esos usuarios. </w:t>
      </w:r>
    </w:p>
    <w:p w14:paraId="5CA91AAE" w14:textId="2840F77B" w:rsidR="00097DAA" w:rsidRPr="00097DAA" w:rsidRDefault="00097DAA" w:rsidP="00097DAA">
      <w:pPr>
        <w:tabs>
          <w:tab w:val="left" w:leader="underscore" w:pos="9639"/>
        </w:tabs>
        <w:spacing w:after="0" w:line="240" w:lineRule="auto"/>
        <w:jc w:val="both"/>
        <w:rPr>
          <w:rFonts w:cs="Calibri"/>
        </w:rPr>
      </w:pPr>
    </w:p>
    <w:p w14:paraId="5E71735B"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El texto referido se encuentra en el segundo párrafo de la fracción y dice lo siguiente:</w:t>
      </w:r>
    </w:p>
    <w:p w14:paraId="41634459" w14:textId="5F63004D" w:rsidR="00097DAA" w:rsidRDefault="00097DAA" w:rsidP="00097DAA">
      <w:pPr>
        <w:tabs>
          <w:tab w:val="left" w:leader="underscore" w:pos="9639"/>
        </w:tabs>
        <w:spacing w:after="0" w:line="240" w:lineRule="auto"/>
        <w:jc w:val="both"/>
        <w:rPr>
          <w:rFonts w:cs="Calibri"/>
          <w:i/>
          <w:iCs/>
        </w:rPr>
      </w:pPr>
      <w:r w:rsidRPr="00097DAA">
        <w:rPr>
          <w:rFonts w:cs="Calibri"/>
          <w:i/>
          <w:iCs/>
        </w:rPr>
        <w:t>“………. y para el tratamiento de agua residual se considerará al 70% de lo que resulte del cálculo de demanda de agua potable multiplicado por el precio unitario del litro por segundo contenido en el inciso c.”</w:t>
      </w:r>
    </w:p>
    <w:p w14:paraId="740F62E9" w14:textId="77777777" w:rsidR="007C54AE" w:rsidRPr="00097DAA" w:rsidRDefault="007C54AE" w:rsidP="00097DAA">
      <w:pPr>
        <w:tabs>
          <w:tab w:val="left" w:leader="underscore" w:pos="9639"/>
        </w:tabs>
        <w:spacing w:after="0" w:line="240" w:lineRule="auto"/>
        <w:jc w:val="both"/>
        <w:rPr>
          <w:rFonts w:cs="Calibri"/>
        </w:rPr>
      </w:pPr>
    </w:p>
    <w:p w14:paraId="1841DF74"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Las fracciones para incorporación individual, venta de agua tratada y descarga de contaminantes de las fracciones XV, XVI y XVII respectivamente, se incrementan un 3.5% y mantienen su estructura y mecánica de cobro.</w:t>
      </w:r>
    </w:p>
    <w:p w14:paraId="322625CE" w14:textId="0D5275CA" w:rsidR="00097DAA" w:rsidRPr="00097DAA" w:rsidRDefault="00097DAA" w:rsidP="00097DAA">
      <w:pPr>
        <w:tabs>
          <w:tab w:val="left" w:leader="underscore" w:pos="9639"/>
        </w:tabs>
        <w:spacing w:after="0" w:line="240" w:lineRule="auto"/>
        <w:jc w:val="both"/>
        <w:rPr>
          <w:rFonts w:cs="Calibri"/>
        </w:rPr>
      </w:pPr>
    </w:p>
    <w:p w14:paraId="7C85204E"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 xml:space="preserve">En el Artículo 42 relativo a facilidades administrativas se mantienen los beneficios contenidos en la Ley vigente. </w:t>
      </w:r>
    </w:p>
    <w:p w14:paraId="1A3553B0" w14:textId="2F7D84A6" w:rsidR="00097DAA" w:rsidRPr="00097DAA" w:rsidRDefault="00097DAA" w:rsidP="00097DAA">
      <w:pPr>
        <w:tabs>
          <w:tab w:val="left" w:leader="underscore" w:pos="9639"/>
        </w:tabs>
        <w:spacing w:after="0" w:line="240" w:lineRule="auto"/>
        <w:jc w:val="both"/>
        <w:rPr>
          <w:rFonts w:cs="Calibri"/>
        </w:rPr>
      </w:pPr>
    </w:p>
    <w:p w14:paraId="0AD84A74" w14:textId="77777777" w:rsidR="00097DAA" w:rsidRPr="00097DAA" w:rsidRDefault="00097DAA" w:rsidP="00097DAA">
      <w:pPr>
        <w:tabs>
          <w:tab w:val="left" w:leader="underscore" w:pos="9639"/>
        </w:tabs>
        <w:spacing w:after="0" w:line="240" w:lineRule="auto"/>
        <w:jc w:val="both"/>
        <w:rPr>
          <w:rFonts w:cs="Calibri"/>
        </w:rPr>
      </w:pPr>
      <w:r w:rsidRPr="00097DAA">
        <w:rPr>
          <w:rFonts w:cs="Calibri"/>
        </w:rPr>
        <w:t>Por todo lo anteriormente expuesto y basados en el cálculo de precios, es que ponemos a consideración del H. Ayuntamiento, nuestra propuesta tarifaria y de presupuesto para el ejercicio fiscal de 2025 a $71'917,690.00 pesos, dando cumplimiento a las disposiciones normativas que inciden, respetando, como todos los años, el principio de autoridad que debe prevalecer para que puedan hacer su trabajo de análisis y autorización correspondiente.</w:t>
      </w:r>
    </w:p>
    <w:p w14:paraId="7E2CB7AC" w14:textId="77777777" w:rsidR="00CA52D8" w:rsidRDefault="00CA52D8" w:rsidP="00B30FC3">
      <w:pPr>
        <w:tabs>
          <w:tab w:val="left" w:leader="underscore" w:pos="9639"/>
        </w:tabs>
        <w:spacing w:after="0" w:line="240" w:lineRule="auto"/>
        <w:jc w:val="both"/>
        <w:rPr>
          <w:rFonts w:cs="Calibri"/>
        </w:rPr>
      </w:pPr>
    </w:p>
    <w:p w14:paraId="4174553D" w14:textId="77777777" w:rsidR="00B30FC3" w:rsidRPr="00E74967" w:rsidRDefault="00B30FC3" w:rsidP="00B30FC3">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FDE3CD9" w14:textId="77777777" w:rsidR="00CA52D8" w:rsidRPr="00E74967" w:rsidRDefault="00CA52D8" w:rsidP="00CA52D8">
      <w:pPr>
        <w:spacing w:after="0" w:line="240" w:lineRule="auto"/>
        <w:jc w:val="both"/>
        <w:rPr>
          <w:rFonts w:cs="Calibri"/>
        </w:rPr>
      </w:pPr>
      <w:r>
        <w:rPr>
          <w:rFonts w:cs="Calibri"/>
        </w:rPr>
        <w:t>Lograr un manejo eficiente del agua para garantizar la cobertura y calidad de los servicios de agua potable y alcantarillado; y dar mantenimiento preventivo y correctivo a las redes de agua potable y alcantarillado para garantizar su funcionalidad.</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89571A2" w14:textId="0835271A" w:rsidR="00CA52D8" w:rsidRPr="00E74967" w:rsidRDefault="00CA52D8" w:rsidP="00CA52D8">
      <w:pPr>
        <w:spacing w:after="0" w:line="240" w:lineRule="auto"/>
        <w:jc w:val="both"/>
        <w:rPr>
          <w:rFonts w:cs="Calibri"/>
        </w:rPr>
      </w:pPr>
      <w:r>
        <w:rPr>
          <w:rFonts w:cs="Calibri"/>
        </w:rPr>
        <w:t>Captación, tratamiento y suministro de agua para uso doméstico.</w:t>
      </w:r>
    </w:p>
    <w:p w14:paraId="15F90EEC" w14:textId="7B9F47E1" w:rsidR="00CB41C4" w:rsidRPr="00E74967" w:rsidRDefault="00CB41C4" w:rsidP="00CB41C4">
      <w:pPr>
        <w:tabs>
          <w:tab w:val="left" w:leader="underscore" w:pos="9639"/>
        </w:tabs>
        <w:spacing w:after="0" w:line="240" w:lineRule="auto"/>
        <w:jc w:val="both"/>
        <w:rPr>
          <w:rFonts w:cs="Calibri"/>
        </w:rPr>
      </w:pPr>
    </w:p>
    <w:p w14:paraId="2D21CE61" w14:textId="65C8545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7C54AE">
        <w:rPr>
          <w:rFonts w:cs="Calibri"/>
        </w:rPr>
        <w:t>5</w:t>
      </w:r>
      <w:r w:rsidRPr="00E74967">
        <w:rPr>
          <w:rFonts w:cs="Calibri"/>
        </w:rPr>
        <w:t>).</w:t>
      </w:r>
    </w:p>
    <w:p w14:paraId="2E2BB378" w14:textId="011036DE" w:rsidR="00CA52D8" w:rsidRDefault="00CA52D8" w:rsidP="00CA52D8">
      <w:pPr>
        <w:spacing w:after="0" w:line="240" w:lineRule="auto"/>
        <w:jc w:val="both"/>
        <w:rPr>
          <w:rFonts w:cs="Calibri"/>
        </w:rPr>
      </w:pPr>
      <w:r>
        <w:rPr>
          <w:rFonts w:cs="Calibri"/>
        </w:rPr>
        <w:t>Del 01 de enero al 31 de diciembre de 202</w:t>
      </w:r>
      <w:r w:rsidR="007C54AE">
        <w:rPr>
          <w:rFonts w:cs="Calibri"/>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B439125" w14:textId="77777777" w:rsidR="00CA52D8" w:rsidRPr="00E74967" w:rsidRDefault="00CA52D8" w:rsidP="00CA52D8">
      <w:pPr>
        <w:spacing w:after="0" w:line="240" w:lineRule="auto"/>
        <w:jc w:val="both"/>
        <w:rPr>
          <w:rFonts w:cs="Calibri"/>
        </w:rPr>
      </w:pPr>
      <w:r>
        <w:rPr>
          <w:rFonts w:cs="Calibri"/>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7E6F2A0"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retenciones mensuales de ISR por sueldos y salarios.</w:t>
      </w:r>
    </w:p>
    <w:p w14:paraId="41F6926E"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retención de ISR por servicios profesionales mensual.</w:t>
      </w:r>
    </w:p>
    <w:p w14:paraId="2B5C698B" w14:textId="77777777" w:rsidR="00994E47" w:rsidRPr="00FE133B" w:rsidRDefault="00994E47" w:rsidP="00994E47">
      <w:pPr>
        <w:spacing w:after="0" w:line="240" w:lineRule="auto"/>
        <w:jc w:val="both"/>
        <w:rPr>
          <w:rFonts w:cs="Calibri"/>
        </w:rPr>
      </w:pPr>
      <w:r w:rsidRPr="00FE133B">
        <w:rPr>
          <w:rFonts w:cs="Calibri"/>
        </w:rPr>
        <w:lastRenderedPageBreak/>
        <w:t></w:t>
      </w:r>
      <w:r w:rsidRPr="00FE133B">
        <w:rPr>
          <w:rFonts w:cs="Calibri"/>
        </w:rPr>
        <w:tab/>
      </w:r>
      <w:r>
        <w:rPr>
          <w:rFonts w:cs="Calibri"/>
        </w:rPr>
        <w:t>Declaración informativa mensual de operaciones con terceros de IVA.</w:t>
      </w:r>
    </w:p>
    <w:p w14:paraId="1349BC56"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Pago definitivo mensual de IVA.</w:t>
      </w:r>
    </w:p>
    <w:p w14:paraId="0ECAE39F"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retención de Impuesto Cedular por servicios profesionales mensual.</w:t>
      </w:r>
    </w:p>
    <w:p w14:paraId="188AFCF7"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informativa anual de retenciones de Impuesto Cedular por servicios profesionales.</w:t>
      </w:r>
    </w:p>
    <w:p w14:paraId="27175E08"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Entero de Impuesto Sobre Nómina por sueldos y salarios e ingresos asimilados a salarios mensual.</w:t>
      </w:r>
    </w:p>
    <w:p w14:paraId="467F2BA1"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informativa anual de Impuesto Sobre Nómina por sueldos y salarios e ingresos asimilados a salarios.</w:t>
      </w:r>
    </w:p>
    <w:p w14:paraId="17B98759" w14:textId="77777777" w:rsidR="00994E47" w:rsidRPr="00FE133B"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definitiva trimestral y entero de Derechos por Extracción de Aguas Nacionales.</w:t>
      </w:r>
    </w:p>
    <w:p w14:paraId="438A1C3A" w14:textId="77777777" w:rsidR="00994E47" w:rsidRDefault="00994E47" w:rsidP="00994E47">
      <w:pPr>
        <w:spacing w:after="0" w:line="240" w:lineRule="auto"/>
        <w:jc w:val="both"/>
        <w:rPr>
          <w:rFonts w:cs="Calibri"/>
        </w:rPr>
      </w:pPr>
      <w:r w:rsidRPr="00FE133B">
        <w:rPr>
          <w:rFonts w:cs="Calibri"/>
        </w:rPr>
        <w:t></w:t>
      </w:r>
      <w:r w:rsidRPr="00FE133B">
        <w:rPr>
          <w:rFonts w:cs="Calibri"/>
        </w:rPr>
        <w:tab/>
      </w:r>
      <w:r>
        <w:rPr>
          <w:rFonts w:cs="Calibri"/>
        </w:rPr>
        <w:t>Declaración definitiva trimestral y entero de Derechos por Descarga de Aguas Residuales.</w:t>
      </w:r>
    </w:p>
    <w:p w14:paraId="2469AE12" w14:textId="77777777" w:rsidR="00994E47" w:rsidRPr="00FB4C27" w:rsidRDefault="00994E47" w:rsidP="00994E47">
      <w:pPr>
        <w:autoSpaceDE w:val="0"/>
        <w:autoSpaceDN w:val="0"/>
        <w:adjustRightInd w:val="0"/>
        <w:spacing w:after="0" w:line="240" w:lineRule="auto"/>
        <w:rPr>
          <w:rFonts w:cs="Calibri"/>
          <w:b/>
        </w:rPr>
      </w:pPr>
      <w:r w:rsidRPr="00FE133B">
        <w:rPr>
          <w:rFonts w:cs="Calibri"/>
        </w:rPr>
        <w:t></w:t>
      </w:r>
      <w:r w:rsidRPr="00FE133B">
        <w:rPr>
          <w:rFonts w:cs="Calibri"/>
        </w:rPr>
        <w:tab/>
      </w:r>
      <w:r>
        <w:rPr>
          <w:rFonts w:cs="Calibri"/>
        </w:rPr>
        <w:t>Declaración del ejercicio, Personas Morales con Fines No Lucrativos F21.</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5F280F35" w:rsidR="007D1E76" w:rsidRDefault="003915FC" w:rsidP="00CB41C4">
      <w:pPr>
        <w:tabs>
          <w:tab w:val="left" w:leader="underscore" w:pos="9639"/>
        </w:tabs>
        <w:spacing w:after="0" w:line="240" w:lineRule="auto"/>
        <w:jc w:val="both"/>
        <w:rPr>
          <w:rFonts w:cs="Calibri"/>
        </w:rPr>
      </w:pPr>
      <w:r>
        <w:rPr>
          <w:noProof/>
        </w:rPr>
        <w:drawing>
          <wp:inline distT="0" distB="0" distL="0" distR="0" wp14:anchorId="1EDC42D1" wp14:editId="52F5156D">
            <wp:extent cx="6561455" cy="387944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85352" cy="3893569"/>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26B1F581" w:rsidR="007D1E76" w:rsidRPr="00E74967" w:rsidRDefault="00994E47" w:rsidP="00CB41C4">
      <w:pPr>
        <w:tabs>
          <w:tab w:val="left" w:leader="underscore" w:pos="9639"/>
        </w:tabs>
        <w:spacing w:after="0" w:line="240" w:lineRule="auto"/>
        <w:jc w:val="both"/>
        <w:rPr>
          <w:rFonts w:cs="Calibri"/>
        </w:rPr>
      </w:pPr>
      <w:r>
        <w:rPr>
          <w:rFonts w:cs="Calibri"/>
        </w:rPr>
        <w:t>Sin fideicomisos que manifestar durante el período.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4FB929E6" w:rsidR="007D1E76" w:rsidRPr="00E74967" w:rsidRDefault="00994E47" w:rsidP="00CB41C4">
      <w:pPr>
        <w:tabs>
          <w:tab w:val="left" w:leader="underscore" w:pos="9639"/>
        </w:tabs>
        <w:spacing w:after="0" w:line="240" w:lineRule="auto"/>
        <w:jc w:val="both"/>
        <w:rPr>
          <w:rFonts w:cs="Calibri"/>
        </w:rPr>
      </w:pPr>
      <w:r>
        <w:rPr>
          <w:rFonts w:cs="Calibri"/>
        </w:rPr>
        <w:lastRenderedPageBreak/>
        <w:t>Sí</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BC5966A" w14:textId="36282152" w:rsidR="00994E47" w:rsidRPr="00E74967" w:rsidRDefault="00994E47" w:rsidP="00994E47">
      <w:pPr>
        <w:tabs>
          <w:tab w:val="left" w:leader="underscore" w:pos="9639"/>
        </w:tabs>
        <w:spacing w:after="0" w:line="240" w:lineRule="auto"/>
        <w:jc w:val="both"/>
        <w:rPr>
          <w:rFonts w:cs="Calibri"/>
        </w:rPr>
      </w:pPr>
      <w:r>
        <w:rPr>
          <w:rFonts w:cs="Calibri"/>
        </w:rPr>
        <w:t>Costo histórico.</w:t>
      </w:r>
    </w:p>
    <w:p w14:paraId="2DCF252C" w14:textId="59ED9DA5"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4856439D" w:rsidR="007D1E76" w:rsidRPr="00E74967" w:rsidRDefault="00994E47" w:rsidP="00CB41C4">
      <w:pPr>
        <w:tabs>
          <w:tab w:val="left" w:leader="underscore" w:pos="9639"/>
        </w:tabs>
        <w:spacing w:after="0" w:line="240" w:lineRule="auto"/>
        <w:jc w:val="both"/>
        <w:rPr>
          <w:rFonts w:cs="Calibri"/>
        </w:rPr>
      </w:pPr>
      <w:r>
        <w:rPr>
          <w:rFonts w:cs="Calibri"/>
        </w:rPr>
        <w:t>Sí</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59828550" w:rsidR="007D1E76" w:rsidRPr="00E74967" w:rsidRDefault="00994E47" w:rsidP="00CB41C4">
      <w:pPr>
        <w:tabs>
          <w:tab w:val="left" w:leader="underscore" w:pos="9639"/>
        </w:tabs>
        <w:spacing w:after="0" w:line="240" w:lineRule="auto"/>
        <w:jc w:val="both"/>
        <w:rPr>
          <w:rFonts w:cs="Calibri"/>
        </w:rPr>
      </w:pPr>
      <w:r>
        <w:rPr>
          <w:rFonts w:cs="Calibri"/>
        </w:rPr>
        <w:t>No aplica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01B5178A" w:rsidR="007D1E76" w:rsidRPr="00E74967" w:rsidRDefault="00994E47" w:rsidP="00CB41C4">
      <w:pPr>
        <w:tabs>
          <w:tab w:val="left" w:leader="underscore" w:pos="9639"/>
        </w:tabs>
        <w:spacing w:after="0" w:line="240" w:lineRule="auto"/>
        <w:jc w:val="both"/>
        <w:rPr>
          <w:rFonts w:cs="Calibri"/>
        </w:rPr>
      </w:pPr>
      <w:r>
        <w:rPr>
          <w:rFonts w:cs="Calibri"/>
        </w:rPr>
        <w:t>No aplica</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0828F716" w:rsidR="007D1E76" w:rsidRPr="00E74967" w:rsidRDefault="00994E47" w:rsidP="00CB41C4">
      <w:pPr>
        <w:tabs>
          <w:tab w:val="left" w:leader="underscore" w:pos="9639"/>
        </w:tabs>
        <w:spacing w:after="0" w:line="240" w:lineRule="auto"/>
        <w:jc w:val="both"/>
        <w:rPr>
          <w:rFonts w:cs="Calibri"/>
        </w:rPr>
      </w:pPr>
      <w:r>
        <w:rPr>
          <w:rFonts w:cs="Calibri"/>
        </w:rPr>
        <w:t>No aplica</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460CF60E" w:rsidR="007D1E76" w:rsidRPr="00E74967" w:rsidRDefault="00994E47" w:rsidP="00CB41C4">
      <w:pPr>
        <w:tabs>
          <w:tab w:val="left" w:leader="underscore" w:pos="9639"/>
        </w:tabs>
        <w:spacing w:after="0" w:line="240" w:lineRule="auto"/>
        <w:jc w:val="both"/>
        <w:rPr>
          <w:rFonts w:cs="Calibri"/>
        </w:rPr>
      </w:pPr>
      <w:r>
        <w:rPr>
          <w:rFonts w:cs="Calibri"/>
        </w:rPr>
        <w:t>No aplica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4F794AC2" w:rsidR="006F0687" w:rsidRPr="00E74967" w:rsidRDefault="00994E47" w:rsidP="006F0687">
      <w:pPr>
        <w:tabs>
          <w:tab w:val="left" w:leader="underscore" w:pos="9639"/>
        </w:tabs>
        <w:spacing w:after="0" w:line="240" w:lineRule="auto"/>
        <w:jc w:val="both"/>
        <w:rPr>
          <w:rFonts w:cs="Calibri"/>
        </w:rPr>
      </w:pPr>
      <w:r>
        <w:rPr>
          <w:rFonts w:cs="Calibri"/>
        </w:rPr>
        <w:t>No aplica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291E46F" w:rsidR="007D1E76" w:rsidRPr="00E74967" w:rsidRDefault="00994E47" w:rsidP="00CB41C4">
      <w:pPr>
        <w:tabs>
          <w:tab w:val="left" w:leader="underscore" w:pos="9639"/>
        </w:tabs>
        <w:spacing w:after="0" w:line="240" w:lineRule="auto"/>
        <w:jc w:val="both"/>
        <w:rPr>
          <w:rFonts w:cs="Calibri"/>
        </w:rPr>
      </w:pPr>
      <w:r>
        <w:rPr>
          <w:rFonts w:cs="Calibri"/>
        </w:rPr>
        <w:t>No aplica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21D55D55" w:rsidR="007D1E76" w:rsidRPr="00E74967" w:rsidRDefault="00994E47" w:rsidP="00CB41C4">
      <w:pPr>
        <w:tabs>
          <w:tab w:val="left" w:leader="underscore" w:pos="9639"/>
        </w:tabs>
        <w:spacing w:after="0" w:line="240" w:lineRule="auto"/>
        <w:jc w:val="both"/>
        <w:rPr>
          <w:rFonts w:cs="Calibri"/>
        </w:rPr>
      </w:pPr>
      <w:r>
        <w:rPr>
          <w:rFonts w:cs="Calibri"/>
        </w:rPr>
        <w:t>N</w:t>
      </w:r>
      <w:r w:rsidR="00DF28AC">
        <w:rPr>
          <w:rFonts w:cs="Calibri"/>
        </w:rPr>
        <w:t>o aplica</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6648C5F7" w:rsidR="007D1E76" w:rsidRPr="00E74967" w:rsidRDefault="00DF28AC" w:rsidP="00CB41C4">
      <w:pPr>
        <w:tabs>
          <w:tab w:val="left" w:leader="underscore" w:pos="9639"/>
        </w:tabs>
        <w:spacing w:after="0" w:line="240" w:lineRule="auto"/>
        <w:jc w:val="both"/>
        <w:rPr>
          <w:rFonts w:cs="Calibri"/>
        </w:rPr>
      </w:pPr>
      <w:r>
        <w:rPr>
          <w:rFonts w:cs="Calibri"/>
        </w:rPr>
        <w:t>No aplica</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70DC7D99" w:rsidR="007D1E76" w:rsidRPr="00E74967" w:rsidRDefault="00DF28AC" w:rsidP="00CB41C4">
      <w:pPr>
        <w:tabs>
          <w:tab w:val="left" w:leader="underscore" w:pos="9639"/>
        </w:tabs>
        <w:spacing w:after="0" w:line="240" w:lineRule="auto"/>
        <w:jc w:val="both"/>
        <w:rPr>
          <w:rFonts w:cs="Calibri"/>
        </w:rPr>
      </w:pPr>
      <w:r>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3F02A76" w:rsidR="007D1E76" w:rsidRPr="00E74967" w:rsidRDefault="00DF28AC" w:rsidP="00CB41C4">
      <w:pPr>
        <w:tabs>
          <w:tab w:val="left" w:leader="underscore" w:pos="9639"/>
        </w:tabs>
        <w:spacing w:after="0" w:line="240" w:lineRule="auto"/>
        <w:jc w:val="both"/>
        <w:rPr>
          <w:rFonts w:cs="Calibri"/>
        </w:rPr>
      </w:pPr>
      <w:r>
        <w:rPr>
          <w:rFonts w:cs="Calibri"/>
        </w:rPr>
        <w:t>No aplica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18D6638E" w:rsidR="007D1E76" w:rsidRPr="00E74967" w:rsidRDefault="00DF28AC" w:rsidP="00CB41C4">
      <w:pPr>
        <w:tabs>
          <w:tab w:val="left" w:leader="underscore" w:pos="9639"/>
        </w:tabs>
        <w:spacing w:after="0" w:line="240" w:lineRule="auto"/>
        <w:jc w:val="both"/>
        <w:rPr>
          <w:rFonts w:cs="Calibri"/>
        </w:rPr>
      </w:pPr>
      <w:r>
        <w:rPr>
          <w:rFonts w:cs="Calibri"/>
        </w:rPr>
        <w:t>No aplica</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13D4484E" w:rsidR="007D1E76" w:rsidRPr="00E74967" w:rsidRDefault="00DF28AC" w:rsidP="00CB41C4">
      <w:pPr>
        <w:tabs>
          <w:tab w:val="left" w:leader="underscore" w:pos="9639"/>
        </w:tabs>
        <w:spacing w:after="0" w:line="240" w:lineRule="auto"/>
        <w:jc w:val="both"/>
        <w:rPr>
          <w:rFonts w:cs="Calibri"/>
        </w:rPr>
      </w:pPr>
      <w:r>
        <w:rPr>
          <w:rFonts w:cs="Calibri"/>
        </w:rPr>
        <w:t>No aplica</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5EC3443D" w:rsidR="007D1E76" w:rsidRPr="00E74967" w:rsidRDefault="00DF28AC" w:rsidP="00CB41C4">
      <w:pPr>
        <w:tabs>
          <w:tab w:val="left" w:leader="underscore" w:pos="9639"/>
        </w:tabs>
        <w:spacing w:after="0" w:line="240" w:lineRule="auto"/>
        <w:jc w:val="both"/>
        <w:rPr>
          <w:rFonts w:cs="Calibri"/>
        </w:rPr>
      </w:pPr>
      <w:r>
        <w:rPr>
          <w:rFonts w:cs="Calibri"/>
        </w:rPr>
        <w:t>No aplica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2C890F09" w:rsidR="007D1E76" w:rsidRPr="00E74967" w:rsidRDefault="00DF28AC" w:rsidP="00CB41C4">
      <w:pPr>
        <w:tabs>
          <w:tab w:val="left" w:leader="underscore" w:pos="9639"/>
        </w:tabs>
        <w:spacing w:after="0" w:line="240" w:lineRule="auto"/>
        <w:jc w:val="both"/>
        <w:rPr>
          <w:rFonts w:cs="Calibri"/>
        </w:rPr>
      </w:pPr>
      <w:r>
        <w:rPr>
          <w:rFonts w:cs="Calibri"/>
        </w:rPr>
        <w:t>No aplica</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747813AA" w:rsidR="007D1E76" w:rsidRPr="00E74967" w:rsidRDefault="00DF28AC" w:rsidP="00CB41C4">
      <w:pPr>
        <w:tabs>
          <w:tab w:val="left" w:leader="underscore" w:pos="9639"/>
        </w:tabs>
        <w:spacing w:after="0" w:line="240" w:lineRule="auto"/>
        <w:jc w:val="both"/>
        <w:rPr>
          <w:rFonts w:cs="Calibri"/>
        </w:rPr>
      </w:pPr>
      <w:r>
        <w:rPr>
          <w:rFonts w:cs="Calibri"/>
        </w:rPr>
        <w:t>No aplica</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6C1459E7" w:rsidR="007D1E76" w:rsidRPr="00E74967" w:rsidRDefault="00DF28AC" w:rsidP="00CB41C4">
      <w:pPr>
        <w:tabs>
          <w:tab w:val="left" w:leader="underscore" w:pos="9639"/>
        </w:tabs>
        <w:spacing w:after="0" w:line="240" w:lineRule="auto"/>
        <w:jc w:val="both"/>
        <w:rPr>
          <w:rFonts w:cs="Calibri"/>
        </w:rPr>
      </w:pPr>
      <w:r>
        <w:rPr>
          <w:rFonts w:cs="Calibri"/>
        </w:rPr>
        <w:t>No aplica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744D7269" w:rsidR="007D1E76" w:rsidRPr="00E74967" w:rsidRDefault="00DF28AC" w:rsidP="00CB41C4">
      <w:pPr>
        <w:tabs>
          <w:tab w:val="left" w:leader="underscore" w:pos="9639"/>
        </w:tabs>
        <w:spacing w:after="0" w:line="240" w:lineRule="auto"/>
        <w:jc w:val="both"/>
        <w:rPr>
          <w:rFonts w:cs="Calibri"/>
        </w:rPr>
      </w:pPr>
      <w:r>
        <w:rPr>
          <w:rFonts w:cs="Calibri"/>
        </w:rPr>
        <w:t>No aplica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3D091468" w:rsidR="007D1E76" w:rsidRPr="00E74967" w:rsidRDefault="00DF28AC" w:rsidP="00CB41C4">
      <w:pPr>
        <w:tabs>
          <w:tab w:val="left" w:leader="underscore" w:pos="9639"/>
        </w:tabs>
        <w:spacing w:after="0" w:line="240" w:lineRule="auto"/>
        <w:jc w:val="both"/>
        <w:rPr>
          <w:rFonts w:cs="Calibri"/>
        </w:rPr>
      </w:pPr>
      <w:r>
        <w:rPr>
          <w:rFonts w:cs="Calibri"/>
        </w:rPr>
        <w:t>No aplica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2166A6DF" w:rsidR="007D1E76" w:rsidRPr="00E74967" w:rsidRDefault="00DF28AC" w:rsidP="00CB41C4">
      <w:pPr>
        <w:tabs>
          <w:tab w:val="left" w:leader="underscore" w:pos="9639"/>
        </w:tabs>
        <w:spacing w:after="0" w:line="240" w:lineRule="auto"/>
        <w:jc w:val="both"/>
        <w:rPr>
          <w:rFonts w:cs="Calibri"/>
        </w:rPr>
      </w:pPr>
      <w:r>
        <w:rPr>
          <w:rFonts w:cs="Calibri"/>
        </w:rPr>
        <w:lastRenderedPageBreak/>
        <w:t>No aplica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2A2C1690" w:rsidR="007D1E76" w:rsidRPr="00E74967" w:rsidRDefault="00DF28AC" w:rsidP="00CB41C4">
      <w:pPr>
        <w:tabs>
          <w:tab w:val="left" w:leader="underscore" w:pos="9639"/>
        </w:tabs>
        <w:spacing w:after="0" w:line="240" w:lineRule="auto"/>
        <w:jc w:val="both"/>
        <w:rPr>
          <w:rFonts w:cs="Calibri"/>
        </w:rPr>
      </w:pPr>
      <w:r>
        <w:rPr>
          <w:rFonts w:cs="Calibri"/>
        </w:rPr>
        <w:t>No aplica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4DE0FF06" w14:textId="77777777" w:rsidR="00DF28AC" w:rsidRPr="00E74967" w:rsidRDefault="00DF28AC" w:rsidP="00DF28AC">
      <w:pPr>
        <w:tabs>
          <w:tab w:val="left" w:leader="underscore" w:pos="9639"/>
        </w:tabs>
        <w:spacing w:after="0" w:line="240" w:lineRule="auto"/>
        <w:jc w:val="both"/>
        <w:rPr>
          <w:rFonts w:cs="Calibri"/>
        </w:rPr>
      </w:pPr>
      <w:r>
        <w:rPr>
          <w:rFonts w:cs="Calibri"/>
        </w:rPr>
        <w:t>Parámetros de estimación de vida útil publicados en el DOF por el CONAC.</w:t>
      </w:r>
    </w:p>
    <w:p w14:paraId="18A5CC0A" w14:textId="24E3AFEE" w:rsidR="007D1E76" w:rsidRPr="00E74967" w:rsidRDefault="007D1E76" w:rsidP="00CB41C4">
      <w:pPr>
        <w:tabs>
          <w:tab w:val="left" w:leader="underscore" w:pos="9639"/>
        </w:tabs>
        <w:spacing w:after="0" w:line="240" w:lineRule="auto"/>
        <w:jc w:val="both"/>
        <w:rPr>
          <w:rFonts w:cs="Calibri"/>
        </w:rPr>
      </w:pP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C18ACC1"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9A85668"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A07BC02"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5C4659B"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7AACB8"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F40FEA3"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B758D5A"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17BCA33E"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ACF4A94"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D6CED6D"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6DD4A63"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427B7EFF"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16C3DDF9"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3274B0F" w14:textId="77777777" w:rsidR="00DF28AC" w:rsidRPr="00E74967" w:rsidRDefault="00DF28AC" w:rsidP="00DF28AC">
      <w:pPr>
        <w:tabs>
          <w:tab w:val="left" w:leader="underscore" w:pos="9639"/>
        </w:tabs>
        <w:spacing w:after="0" w:line="240" w:lineRule="auto"/>
        <w:jc w:val="both"/>
        <w:rPr>
          <w:rFonts w:cs="Calibri"/>
        </w:rPr>
      </w:pPr>
      <w:r>
        <w:rPr>
          <w:rFonts w:cs="Calibri"/>
        </w:rPr>
        <w:t>No aplica.</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1F459DD8" w14:textId="188703DF" w:rsidR="00DF28AC" w:rsidRDefault="007D1E76" w:rsidP="00DF28AC">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r w:rsidR="00DF28AC" w:rsidRPr="00DF28AC">
        <w:rPr>
          <w:rFonts w:cs="Calibri"/>
        </w:rPr>
        <w:t xml:space="preserve"> </w:t>
      </w:r>
    </w:p>
    <w:p w14:paraId="0EAC34E4" w14:textId="77777777" w:rsidR="000C766F" w:rsidRDefault="000C766F" w:rsidP="00DF28AC">
      <w:pPr>
        <w:tabs>
          <w:tab w:val="left" w:leader="underscore" w:pos="9639"/>
        </w:tabs>
        <w:spacing w:after="0" w:line="240" w:lineRule="auto"/>
        <w:jc w:val="both"/>
        <w:rPr>
          <w:rFonts w:cs="Calibri"/>
        </w:rPr>
      </w:pPr>
    </w:p>
    <w:bookmarkStart w:id="9" w:name="_MON_1679905440"/>
    <w:bookmarkEnd w:id="9"/>
    <w:p w14:paraId="4CC51DF1" w14:textId="7296F297" w:rsidR="00DF28AC" w:rsidRPr="00E74967" w:rsidRDefault="00FF59AB" w:rsidP="00DF28AC">
      <w:pPr>
        <w:tabs>
          <w:tab w:val="left" w:leader="underscore" w:pos="9639"/>
        </w:tabs>
        <w:spacing w:after="0" w:line="240" w:lineRule="auto"/>
        <w:jc w:val="both"/>
        <w:rPr>
          <w:rFonts w:cs="Calibri"/>
        </w:rPr>
      </w:pPr>
      <w:r>
        <w:rPr>
          <w:rFonts w:cs="Calibri"/>
        </w:rPr>
        <w:object w:dxaOrig="7998" w:dyaOrig="1181" w14:anchorId="46F0C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00.05pt;height:58.85pt" o:ole="">
            <v:imagedata r:id="rId13" o:title=""/>
          </v:shape>
          <o:OLEObject Type="Embed" ProgID="Excel.Sheet.12" ShapeID="_x0000_i1029" DrawAspect="Content" ObjectID="_1821358461" r:id="rId14"/>
        </w:object>
      </w:r>
    </w:p>
    <w:p w14:paraId="411A826A" w14:textId="77777777" w:rsidR="00DF28AC" w:rsidRPr="00E74967" w:rsidRDefault="00DF28AC" w:rsidP="00DF28AC">
      <w:pPr>
        <w:tabs>
          <w:tab w:val="left" w:leader="underscore" w:pos="9639"/>
        </w:tabs>
        <w:spacing w:after="0" w:line="240" w:lineRule="auto"/>
        <w:jc w:val="both"/>
        <w:rPr>
          <w:rFonts w:cs="Calibri"/>
        </w:rPr>
      </w:pPr>
    </w:p>
    <w:p w14:paraId="07029157" w14:textId="1502A0F3" w:rsidR="00DF28AC" w:rsidRDefault="007D1E76" w:rsidP="00DF28AC">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r w:rsidR="00DF28AC" w:rsidRPr="00DF28AC">
        <w:rPr>
          <w:rFonts w:cs="Calibri"/>
        </w:rPr>
        <w:t xml:space="preserve"> </w:t>
      </w:r>
    </w:p>
    <w:p w14:paraId="20E551FC" w14:textId="77777777" w:rsidR="000C766F" w:rsidRDefault="000C766F" w:rsidP="00DF28AC">
      <w:pPr>
        <w:tabs>
          <w:tab w:val="left" w:leader="underscore" w:pos="9639"/>
        </w:tabs>
        <w:spacing w:after="0" w:line="240" w:lineRule="auto"/>
        <w:jc w:val="both"/>
        <w:rPr>
          <w:rFonts w:cs="Calibri"/>
        </w:rPr>
      </w:pPr>
    </w:p>
    <w:bookmarkStart w:id="10" w:name="_MON_1679905944"/>
    <w:bookmarkEnd w:id="10"/>
    <w:p w14:paraId="088E5E52" w14:textId="6C4AC2A2" w:rsidR="00DF28AC" w:rsidRPr="00E74967" w:rsidRDefault="00FF59AB" w:rsidP="00DF28AC">
      <w:pPr>
        <w:tabs>
          <w:tab w:val="left" w:leader="underscore" w:pos="9639"/>
        </w:tabs>
        <w:spacing w:after="0" w:line="240" w:lineRule="auto"/>
        <w:jc w:val="both"/>
        <w:rPr>
          <w:rFonts w:cs="Calibri"/>
        </w:rPr>
      </w:pPr>
      <w:r>
        <w:rPr>
          <w:rFonts w:cs="Calibri"/>
        </w:rPr>
        <w:object w:dxaOrig="7998" w:dyaOrig="1181" w14:anchorId="4D5312BC">
          <v:shape id="_x0000_i1032" type="#_x0000_t75" style="width:399.45pt;height:58.85pt" o:ole="">
            <v:imagedata r:id="rId15" o:title=""/>
          </v:shape>
          <o:OLEObject Type="Embed" ProgID="Excel.Sheet.12" ShapeID="_x0000_i1032" DrawAspect="Content" ObjectID="_1821358462" r:id="rId16"/>
        </w:object>
      </w:r>
    </w:p>
    <w:p w14:paraId="58C52D9B" w14:textId="5AEFF128" w:rsidR="00DF28AC" w:rsidRDefault="00DF28AC" w:rsidP="00DF28AC">
      <w:pPr>
        <w:tabs>
          <w:tab w:val="left" w:leader="underscore" w:pos="9639"/>
        </w:tabs>
        <w:spacing w:after="0" w:line="240" w:lineRule="auto"/>
        <w:jc w:val="both"/>
        <w:rPr>
          <w:rFonts w:cs="Calibri"/>
        </w:rPr>
      </w:pPr>
    </w:p>
    <w:p w14:paraId="420362D3" w14:textId="77777777" w:rsidR="003A7B82" w:rsidRPr="00E74967" w:rsidRDefault="003A7B82" w:rsidP="00DF28AC">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1"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2"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E62F8DF" w:rsidR="007D1E76" w:rsidRPr="00E74967" w:rsidRDefault="00017F5B" w:rsidP="00CB41C4">
      <w:pPr>
        <w:tabs>
          <w:tab w:val="left" w:leader="underscore" w:pos="9639"/>
        </w:tabs>
        <w:spacing w:after="0" w:line="240" w:lineRule="auto"/>
        <w:jc w:val="both"/>
        <w:rPr>
          <w:rFonts w:cs="Calibri"/>
        </w:rPr>
      </w:pPr>
      <w:r>
        <w:rPr>
          <w:rFonts w:cs="Calibri"/>
        </w:rPr>
        <w:t>No aplica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3"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D2BD103" w14:textId="77777777" w:rsidR="00017F5B" w:rsidRPr="00E74967" w:rsidRDefault="00017F5B" w:rsidP="00017F5B">
      <w:pPr>
        <w:tabs>
          <w:tab w:val="left" w:leader="underscore" w:pos="9639"/>
        </w:tabs>
        <w:spacing w:after="0" w:line="240" w:lineRule="auto"/>
        <w:jc w:val="both"/>
        <w:rPr>
          <w:rFonts w:cs="Calibri"/>
        </w:rPr>
      </w:pPr>
      <w:r>
        <w:rPr>
          <w:rFonts w:cs="Calibri"/>
        </w:rPr>
        <w:t>Apego al presupuesto aprobado.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C599F15" w14:textId="77777777" w:rsidR="00017F5B" w:rsidRPr="00E74967" w:rsidRDefault="00017F5B" w:rsidP="00017F5B">
      <w:pPr>
        <w:tabs>
          <w:tab w:val="left" w:leader="underscore" w:pos="9639"/>
        </w:tabs>
        <w:spacing w:after="0" w:line="240" w:lineRule="auto"/>
        <w:jc w:val="both"/>
        <w:rPr>
          <w:rFonts w:cs="Calibri"/>
        </w:rPr>
      </w:pPr>
      <w:r>
        <w:rPr>
          <w:rFonts w:cs="Calibri"/>
        </w:rPr>
        <w:t>Ahorro en las partidas del presupuesto.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4"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2FF1A163" w:rsidR="001C34BC"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6"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439DD097" w:rsidR="007D1E76" w:rsidRPr="00E74967" w:rsidRDefault="00017F5B" w:rsidP="00CB41C4">
      <w:pPr>
        <w:tabs>
          <w:tab w:val="left" w:leader="underscore" w:pos="9639"/>
        </w:tabs>
        <w:spacing w:after="0" w:line="240" w:lineRule="auto"/>
        <w:jc w:val="both"/>
        <w:rPr>
          <w:rFonts w:cs="Calibri"/>
        </w:rPr>
      </w:pPr>
      <w:r>
        <w:rPr>
          <w:rFonts w:cs="Calibri"/>
        </w:rPr>
        <w:t>No aplica</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7"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D2E8A54" w:rsidR="00D5018E" w:rsidRDefault="00CC2F79" w:rsidP="00D5018E">
      <w:pPr>
        <w:pBdr>
          <w:bottom w:val="single" w:sz="12" w:space="1" w:color="auto"/>
        </w:pBdr>
        <w:tabs>
          <w:tab w:val="left" w:leader="underscore" w:pos="9639"/>
        </w:tabs>
        <w:spacing w:after="0" w:line="240" w:lineRule="auto"/>
        <w:jc w:val="both"/>
        <w:rPr>
          <w:rFonts w:cs="Calibri"/>
        </w:rPr>
      </w:pPr>
      <w:r>
        <w:rPr>
          <w:rFonts w:cs="Calibri"/>
        </w:rPr>
        <w:t xml:space="preserve"> </w:t>
      </w:r>
    </w:p>
    <w:p w14:paraId="07D666EE" w14:textId="47376B0A" w:rsidR="00F07C43" w:rsidRDefault="00F07C43" w:rsidP="00D5018E">
      <w:pPr>
        <w:pBdr>
          <w:bottom w:val="single" w:sz="12" w:space="1" w:color="auto"/>
        </w:pBdr>
        <w:tabs>
          <w:tab w:val="left" w:leader="underscore" w:pos="9639"/>
        </w:tabs>
        <w:spacing w:after="0" w:line="240" w:lineRule="auto"/>
        <w:jc w:val="both"/>
        <w:rPr>
          <w:rFonts w:cs="Calibri"/>
        </w:rPr>
      </w:pPr>
    </w:p>
    <w:sectPr w:rsidR="00F07C43"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16F3" w14:textId="77777777" w:rsidR="002D0041" w:rsidRDefault="002D0041" w:rsidP="00E00323">
      <w:pPr>
        <w:spacing w:after="0" w:line="240" w:lineRule="auto"/>
      </w:pPr>
      <w:r>
        <w:separator/>
      </w:r>
    </w:p>
  </w:endnote>
  <w:endnote w:type="continuationSeparator" w:id="0">
    <w:p w14:paraId="5BC3E5EE" w14:textId="77777777" w:rsidR="002D0041" w:rsidRDefault="002D004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29A1" w14:textId="77777777" w:rsidR="002D0041" w:rsidRDefault="002D0041" w:rsidP="00E00323">
      <w:pPr>
        <w:spacing w:after="0" w:line="240" w:lineRule="auto"/>
      </w:pPr>
      <w:r>
        <w:separator/>
      </w:r>
    </w:p>
  </w:footnote>
  <w:footnote w:type="continuationSeparator" w:id="0">
    <w:p w14:paraId="1890CA94" w14:textId="77777777" w:rsidR="002D0041" w:rsidRDefault="002D004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63A7BAB" w:rsidR="00154BA3" w:rsidRDefault="005337A9" w:rsidP="00A4610E">
    <w:pPr>
      <w:pStyle w:val="Encabezado"/>
      <w:spacing w:after="0" w:line="240" w:lineRule="auto"/>
      <w:jc w:val="center"/>
    </w:pPr>
    <w:r>
      <w:t>Sistema Municipal de Agua Potable y Alcantarillado de Moroleón</w:t>
    </w:r>
  </w:p>
  <w:p w14:paraId="4DBD2023" w14:textId="4986110A" w:rsidR="009F0BAE" w:rsidRDefault="00A4610E" w:rsidP="009F0BAE">
    <w:pPr>
      <w:pStyle w:val="Encabezado"/>
      <w:spacing w:after="0" w:line="240" w:lineRule="auto"/>
      <w:jc w:val="center"/>
    </w:pPr>
    <w:r w:rsidRPr="00A4610E">
      <w:t>CORRESPONDI</w:t>
    </w:r>
    <w:r w:rsidR="00DD018C">
      <w:t>E</w:t>
    </w:r>
    <w:r w:rsidRPr="00A4610E">
      <w:t xml:space="preserve">NTES AL </w:t>
    </w:r>
    <w:r w:rsidR="005337A9">
      <w:t>3</w:t>
    </w:r>
    <w:r w:rsidR="00DD46A7">
      <w:t>0</w:t>
    </w:r>
    <w:r w:rsidR="005337A9">
      <w:t xml:space="preserve"> DE </w:t>
    </w:r>
    <w:r w:rsidR="00FF59AB">
      <w:t>SEPTIEMBRE</w:t>
    </w:r>
    <w:r w:rsidR="00EE1E17">
      <w:t xml:space="preserve"> DE 202</w:t>
    </w:r>
    <w:r w:rsidR="009F0BA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7F5B"/>
    <w:rsid w:val="000310EF"/>
    <w:rsid w:val="00040D4F"/>
    <w:rsid w:val="00084EAE"/>
    <w:rsid w:val="00091CE6"/>
    <w:rsid w:val="00097DAA"/>
    <w:rsid w:val="000B7810"/>
    <w:rsid w:val="000C10F4"/>
    <w:rsid w:val="000C3365"/>
    <w:rsid w:val="000C766F"/>
    <w:rsid w:val="000E38D0"/>
    <w:rsid w:val="00106EE9"/>
    <w:rsid w:val="00114239"/>
    <w:rsid w:val="0012405A"/>
    <w:rsid w:val="0012493A"/>
    <w:rsid w:val="00154BA3"/>
    <w:rsid w:val="00156724"/>
    <w:rsid w:val="00190F06"/>
    <w:rsid w:val="001973A2"/>
    <w:rsid w:val="001B6EC0"/>
    <w:rsid w:val="001C34BC"/>
    <w:rsid w:val="001C710C"/>
    <w:rsid w:val="001C75F2"/>
    <w:rsid w:val="001D2063"/>
    <w:rsid w:val="001D43E9"/>
    <w:rsid w:val="00206214"/>
    <w:rsid w:val="00231FBE"/>
    <w:rsid w:val="00232175"/>
    <w:rsid w:val="00233DED"/>
    <w:rsid w:val="0024740E"/>
    <w:rsid w:val="002722DD"/>
    <w:rsid w:val="00295B72"/>
    <w:rsid w:val="002D0041"/>
    <w:rsid w:val="002E5D1F"/>
    <w:rsid w:val="003453CA"/>
    <w:rsid w:val="003915FC"/>
    <w:rsid w:val="00396D53"/>
    <w:rsid w:val="003A7B82"/>
    <w:rsid w:val="003E6C64"/>
    <w:rsid w:val="0043078C"/>
    <w:rsid w:val="00435A87"/>
    <w:rsid w:val="00483CDB"/>
    <w:rsid w:val="00490752"/>
    <w:rsid w:val="004A1077"/>
    <w:rsid w:val="004A58C8"/>
    <w:rsid w:val="004F234D"/>
    <w:rsid w:val="004F6FAC"/>
    <w:rsid w:val="005053EE"/>
    <w:rsid w:val="00516100"/>
    <w:rsid w:val="00516A8F"/>
    <w:rsid w:val="005337A9"/>
    <w:rsid w:val="00540261"/>
    <w:rsid w:val="0054701E"/>
    <w:rsid w:val="00587C86"/>
    <w:rsid w:val="005B5531"/>
    <w:rsid w:val="005D3E43"/>
    <w:rsid w:val="005E231E"/>
    <w:rsid w:val="005F2900"/>
    <w:rsid w:val="005F51CC"/>
    <w:rsid w:val="0064059E"/>
    <w:rsid w:val="00657009"/>
    <w:rsid w:val="00681C79"/>
    <w:rsid w:val="00684909"/>
    <w:rsid w:val="006B1ADF"/>
    <w:rsid w:val="006F0687"/>
    <w:rsid w:val="006F77A8"/>
    <w:rsid w:val="00747D8F"/>
    <w:rsid w:val="007610BC"/>
    <w:rsid w:val="007714AB"/>
    <w:rsid w:val="007C54AE"/>
    <w:rsid w:val="007D1E76"/>
    <w:rsid w:val="007D4484"/>
    <w:rsid w:val="007E38A2"/>
    <w:rsid w:val="007F6385"/>
    <w:rsid w:val="007F699D"/>
    <w:rsid w:val="00806269"/>
    <w:rsid w:val="0086420E"/>
    <w:rsid w:val="0086459F"/>
    <w:rsid w:val="008C3BB8"/>
    <w:rsid w:val="008D4E72"/>
    <w:rsid w:val="008E076C"/>
    <w:rsid w:val="0092765C"/>
    <w:rsid w:val="00967DDA"/>
    <w:rsid w:val="009736CB"/>
    <w:rsid w:val="00994E47"/>
    <w:rsid w:val="00997174"/>
    <w:rsid w:val="009C47F6"/>
    <w:rsid w:val="009F0BAE"/>
    <w:rsid w:val="00A4610E"/>
    <w:rsid w:val="00A62F0E"/>
    <w:rsid w:val="00A6346D"/>
    <w:rsid w:val="00A730E0"/>
    <w:rsid w:val="00AA2768"/>
    <w:rsid w:val="00AA41E5"/>
    <w:rsid w:val="00AB722B"/>
    <w:rsid w:val="00AC3B2C"/>
    <w:rsid w:val="00AE1F6A"/>
    <w:rsid w:val="00AE41C4"/>
    <w:rsid w:val="00AF4375"/>
    <w:rsid w:val="00B073DE"/>
    <w:rsid w:val="00B30FC3"/>
    <w:rsid w:val="00B4463A"/>
    <w:rsid w:val="00B6368B"/>
    <w:rsid w:val="00BA3C38"/>
    <w:rsid w:val="00BA53FE"/>
    <w:rsid w:val="00BA54C5"/>
    <w:rsid w:val="00BE02EB"/>
    <w:rsid w:val="00BE7213"/>
    <w:rsid w:val="00C27C88"/>
    <w:rsid w:val="00C4250B"/>
    <w:rsid w:val="00C4625D"/>
    <w:rsid w:val="00C54C12"/>
    <w:rsid w:val="00C93C67"/>
    <w:rsid w:val="00C97E1E"/>
    <w:rsid w:val="00CA52D8"/>
    <w:rsid w:val="00CB1C00"/>
    <w:rsid w:val="00CB41C4"/>
    <w:rsid w:val="00CC2F79"/>
    <w:rsid w:val="00CF1316"/>
    <w:rsid w:val="00CF486F"/>
    <w:rsid w:val="00D13C44"/>
    <w:rsid w:val="00D32331"/>
    <w:rsid w:val="00D40FC2"/>
    <w:rsid w:val="00D5018E"/>
    <w:rsid w:val="00D546B2"/>
    <w:rsid w:val="00D975B1"/>
    <w:rsid w:val="00DD018C"/>
    <w:rsid w:val="00DD46A7"/>
    <w:rsid w:val="00DE0B8C"/>
    <w:rsid w:val="00DF28AC"/>
    <w:rsid w:val="00E00323"/>
    <w:rsid w:val="00E11758"/>
    <w:rsid w:val="00E74967"/>
    <w:rsid w:val="00E7559F"/>
    <w:rsid w:val="00E85520"/>
    <w:rsid w:val="00E9132F"/>
    <w:rsid w:val="00EA37F5"/>
    <w:rsid w:val="00EA7915"/>
    <w:rsid w:val="00ED7AA0"/>
    <w:rsid w:val="00EE02E8"/>
    <w:rsid w:val="00EE1E17"/>
    <w:rsid w:val="00F067C8"/>
    <w:rsid w:val="00F07C43"/>
    <w:rsid w:val="00F16B64"/>
    <w:rsid w:val="00F43AC5"/>
    <w:rsid w:val="00F46719"/>
    <w:rsid w:val="00F54F6F"/>
    <w:rsid w:val="00F6102D"/>
    <w:rsid w:val="00F65A92"/>
    <w:rsid w:val="00F6759B"/>
    <w:rsid w:val="00F740C2"/>
    <w:rsid w:val="00FC142F"/>
    <w:rsid w:val="00FC1AE8"/>
    <w:rsid w:val="00FF59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DA9A13E7-30DE-4089-846C-6636E93310E6}">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12</Pages>
  <Words>3781</Words>
  <Characters>20799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24531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Server</cp:lastModifiedBy>
  <cp:revision>94</cp:revision>
  <dcterms:created xsi:type="dcterms:W3CDTF">2017-01-12T05:27:00Z</dcterms:created>
  <dcterms:modified xsi:type="dcterms:W3CDTF">2025-10-07T22:08:00Z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