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094948" w14:textId="77777777" w:rsidR="000B7810" w:rsidRPr="00657009" w:rsidRDefault="000B7810" w:rsidP="004F234D">
      <w:pPr>
        <w:tabs>
          <w:tab w:val="left" w:leader="underscore" w:pos="9639"/>
        </w:tabs>
        <w:spacing w:after="0" w:line="240" w:lineRule="auto"/>
        <w:ind w:left="9639" w:hanging="9639"/>
        <w:jc w:val="center"/>
        <w:rPr>
          <w:rFonts w:ascii="Times New Roman" w:hAnsi="Times New Roman"/>
          <w:sz w:val="24"/>
          <w:szCs w:val="24"/>
        </w:rPr>
      </w:pPr>
    </w:p>
    <w:p w14:paraId="507776DB" w14:textId="77777777" w:rsidR="007D1E76" w:rsidRPr="00E74967" w:rsidRDefault="00A62F0E" w:rsidP="00F067C8">
      <w:pPr>
        <w:tabs>
          <w:tab w:val="left" w:leader="underscore" w:pos="9639"/>
        </w:tabs>
        <w:spacing w:after="0" w:line="240" w:lineRule="auto"/>
        <w:jc w:val="center"/>
        <w:rPr>
          <w:rFonts w:cs="Calibri"/>
          <w:b/>
          <w:sz w:val="28"/>
          <w:szCs w:val="28"/>
        </w:rPr>
      </w:pPr>
      <w:hyperlink r:id="rId11" w:history="1">
        <w:r w:rsidR="007D1E76" w:rsidRPr="00E74967">
          <w:rPr>
            <w:rStyle w:val="Hipervnculo"/>
            <w:rFonts w:cs="Calibri"/>
            <w:b/>
            <w:sz w:val="28"/>
            <w:szCs w:val="28"/>
          </w:rPr>
          <w:t>NOTAS DE GESTIÓN ADMINISTRATIVA</w:t>
        </w:r>
      </w:hyperlink>
    </w:p>
    <w:p w14:paraId="1217A01B" w14:textId="40B1FF5C" w:rsidR="007D1E76" w:rsidRPr="005337A9" w:rsidRDefault="00F067C8" w:rsidP="00F067C8">
      <w:pPr>
        <w:tabs>
          <w:tab w:val="left" w:leader="underscore" w:pos="9639"/>
        </w:tabs>
        <w:spacing w:after="0" w:line="240" w:lineRule="auto"/>
        <w:jc w:val="center"/>
        <w:rPr>
          <w:rFonts w:cs="Calibri"/>
          <w:color w:val="FFFFFF" w:themeColor="background1"/>
        </w:rPr>
      </w:pPr>
      <w:r w:rsidRPr="005337A9">
        <w:rPr>
          <w:rFonts w:cs="Calibri"/>
          <w:color w:val="FFFFFF" w:themeColor="background1"/>
        </w:rPr>
        <w:t>06-12-2022</w:t>
      </w:r>
    </w:p>
    <w:p w14:paraId="2F65D88B" w14:textId="77777777" w:rsidR="007D1E76" w:rsidRPr="00E74967" w:rsidRDefault="007D1E76" w:rsidP="00CB41C4">
      <w:pPr>
        <w:tabs>
          <w:tab w:val="left" w:leader="underscore" w:pos="9639"/>
        </w:tabs>
        <w:spacing w:after="0" w:line="240" w:lineRule="auto"/>
        <w:jc w:val="both"/>
        <w:rPr>
          <w:rFonts w:cs="Calibri"/>
        </w:rPr>
      </w:pPr>
    </w:p>
    <w:p w14:paraId="713110D4"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Los Estados Financieros de los entes públicos, proveen de información financiera a los principales usuarios de la misma, al</w:t>
      </w:r>
      <w:r w:rsidR="00E00323" w:rsidRPr="00E74967">
        <w:rPr>
          <w:rFonts w:cs="Calibri"/>
        </w:rPr>
        <w:t xml:space="preserve"> Congreso y a los ciudadanos.</w:t>
      </w:r>
    </w:p>
    <w:p w14:paraId="025F8809" w14:textId="77777777" w:rsidR="007D1E76" w:rsidRPr="00E74967" w:rsidRDefault="007D1E76" w:rsidP="00CB41C4">
      <w:pPr>
        <w:tabs>
          <w:tab w:val="left" w:leader="underscore" w:pos="9639"/>
        </w:tabs>
        <w:spacing w:after="0" w:line="240" w:lineRule="auto"/>
        <w:jc w:val="both"/>
        <w:rPr>
          <w:rFonts w:cs="Calibri"/>
        </w:rPr>
      </w:pPr>
    </w:p>
    <w:p w14:paraId="25F26DDB" w14:textId="08E57847" w:rsidR="007D1E76" w:rsidRPr="00E74967" w:rsidRDefault="007D1E76" w:rsidP="00CB41C4">
      <w:pPr>
        <w:tabs>
          <w:tab w:val="left" w:leader="underscore" w:pos="9639"/>
        </w:tabs>
        <w:spacing w:after="0" w:line="240" w:lineRule="auto"/>
        <w:jc w:val="both"/>
        <w:rPr>
          <w:rFonts w:cs="Calibri"/>
        </w:rPr>
      </w:pPr>
      <w:r w:rsidRPr="00E74967">
        <w:rPr>
          <w:rFonts w:cs="Calibri"/>
        </w:rPr>
        <w:t>El objetivo del presente documento es la revelación del contexto y de los aspectos económicos</w:t>
      </w:r>
      <w:r w:rsidR="00967DDA">
        <w:rPr>
          <w:rFonts w:cs="Calibri"/>
        </w:rPr>
        <w:t>-</w:t>
      </w:r>
      <w:r w:rsidRPr="00E74967">
        <w:rPr>
          <w:rFonts w:cs="Calibri"/>
        </w:rPr>
        <w:t>financieros más relevantes que influyeron en las decisiones del período, y que deberán ser considerados en la elaboración de los estados financieros para la mayor comprensión de los m</w:t>
      </w:r>
      <w:r w:rsidR="00E00323" w:rsidRPr="00E74967">
        <w:rPr>
          <w:rFonts w:cs="Calibri"/>
        </w:rPr>
        <w:t>ismos y sus particularidades.</w:t>
      </w:r>
    </w:p>
    <w:p w14:paraId="606D20F5" w14:textId="77777777" w:rsidR="007D1E76" w:rsidRPr="00E74967" w:rsidRDefault="007D1E76" w:rsidP="00CB41C4">
      <w:pPr>
        <w:tabs>
          <w:tab w:val="left" w:leader="underscore" w:pos="9639"/>
        </w:tabs>
        <w:spacing w:after="0" w:line="240" w:lineRule="auto"/>
        <w:jc w:val="both"/>
        <w:rPr>
          <w:rFonts w:cs="Calibri"/>
        </w:rPr>
      </w:pPr>
    </w:p>
    <w:p w14:paraId="559642E6" w14:textId="7AD61893"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De esta manera, </w:t>
      </w:r>
      <w:r w:rsidR="00295B72" w:rsidRPr="00295B72">
        <w:rPr>
          <w:rFonts w:cs="Calibri"/>
        </w:rPr>
        <w:t>se informan y explican las condiciones relacionadas con la información financiera de cada período de gestión; además, de exponer aquellas políticas que podrían afectar la toma de decisiones en períodos posteriores.</w:t>
      </w:r>
      <w:r w:rsidR="00C93C67">
        <w:rPr>
          <w:rFonts w:cs="Calibri"/>
        </w:rPr>
        <w:t xml:space="preserve"> (</w:t>
      </w:r>
      <w:r w:rsidR="00C93C67" w:rsidRPr="00C93C67">
        <w:rPr>
          <w:rFonts w:cs="Calibri"/>
          <w:color w:val="2F5496" w:themeColor="accent5" w:themeShade="BF"/>
        </w:rPr>
        <w:t>DOF 06-12-2022</w:t>
      </w:r>
      <w:r w:rsidR="00C93C67">
        <w:rPr>
          <w:rFonts w:cs="Calibri"/>
        </w:rPr>
        <w:t>)</w:t>
      </w:r>
    </w:p>
    <w:p w14:paraId="009160FA" w14:textId="7F828C13" w:rsidR="007D1E76" w:rsidRPr="00E74967" w:rsidRDefault="007D1E76" w:rsidP="00CB41C4">
      <w:pPr>
        <w:pStyle w:val="Prrafodelista"/>
        <w:tabs>
          <w:tab w:val="left" w:leader="underscore" w:pos="9639"/>
        </w:tabs>
        <w:spacing w:after="0" w:line="240" w:lineRule="auto"/>
        <w:jc w:val="both"/>
        <w:rPr>
          <w:rFonts w:cs="Calibri"/>
        </w:rPr>
      </w:pPr>
    </w:p>
    <w:p w14:paraId="64420E1E" w14:textId="4E44B4A8" w:rsidR="007D1E76" w:rsidRPr="00E74967" w:rsidRDefault="007D1E76" w:rsidP="00CB41C4">
      <w:pPr>
        <w:pStyle w:val="Prrafodelista"/>
        <w:numPr>
          <w:ilvl w:val="0"/>
          <w:numId w:val="1"/>
        </w:numPr>
        <w:tabs>
          <w:tab w:val="left" w:leader="underscore" w:pos="9639"/>
        </w:tabs>
        <w:spacing w:after="0" w:line="240" w:lineRule="auto"/>
        <w:jc w:val="both"/>
        <w:rPr>
          <w:rFonts w:cs="Calibri"/>
        </w:rPr>
      </w:pPr>
      <w:r w:rsidRPr="00E74967">
        <w:rPr>
          <w:rFonts w:cs="Calibri"/>
        </w:rPr>
        <w:t>Las notas de gestión administrativa deben contener los siguientes puntos:</w:t>
      </w:r>
    </w:p>
    <w:p w14:paraId="552470B0" w14:textId="6EC8F965" w:rsidR="007D1E76" w:rsidRDefault="007D1E76" w:rsidP="00CB41C4">
      <w:pPr>
        <w:tabs>
          <w:tab w:val="left" w:leader="underscore" w:pos="9639"/>
        </w:tabs>
        <w:spacing w:after="0" w:line="240" w:lineRule="auto"/>
        <w:jc w:val="both"/>
        <w:rPr>
          <w:rFonts w:cs="Calibri"/>
        </w:rPr>
      </w:pPr>
    </w:p>
    <w:sdt>
      <w:sdtPr>
        <w:rPr>
          <w:rFonts w:ascii="Calibri" w:eastAsia="Calibri" w:hAnsi="Calibri" w:cs="Times New Roman"/>
          <w:color w:val="auto"/>
          <w:sz w:val="22"/>
          <w:szCs w:val="22"/>
          <w:lang w:val="es-ES" w:eastAsia="en-US"/>
        </w:rPr>
        <w:id w:val="-191922827"/>
        <w:docPartObj>
          <w:docPartGallery w:val="Table of Contents"/>
          <w:docPartUnique/>
        </w:docPartObj>
      </w:sdtPr>
      <w:sdtEndPr>
        <w:rPr>
          <w:b/>
          <w:bCs/>
        </w:rPr>
      </w:sdtEndPr>
      <w:sdtContent>
        <w:p w14:paraId="68C75D59" w14:textId="5B2ECB74" w:rsidR="00F46719" w:rsidRDefault="00F46719">
          <w:pPr>
            <w:pStyle w:val="TtuloTDC"/>
            <w:rPr>
              <w:lang w:val="es-ES"/>
            </w:rPr>
          </w:pPr>
          <w:r>
            <w:rPr>
              <w:lang w:val="es-ES"/>
            </w:rPr>
            <w:t>Contenido</w:t>
          </w:r>
        </w:p>
        <w:p w14:paraId="6FC310E2" w14:textId="77777777" w:rsidR="00516100" w:rsidRPr="00516100" w:rsidRDefault="00516100" w:rsidP="00516100">
          <w:pPr>
            <w:rPr>
              <w:lang w:val="es-ES" w:eastAsia="es-MX"/>
            </w:rPr>
          </w:pPr>
        </w:p>
        <w:p w14:paraId="1A37D15B" w14:textId="1D0B559D" w:rsidR="005F51CC" w:rsidRDefault="00F46719">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r>
            <w:fldChar w:fldCharType="begin"/>
          </w:r>
          <w:r>
            <w:instrText xml:space="preserve"> TOC \o "1-3" \h \z \u </w:instrText>
          </w:r>
          <w:r>
            <w:fldChar w:fldCharType="separate"/>
          </w:r>
          <w:hyperlink w:anchor="_Toc161472866" w:history="1">
            <w:r w:rsidR="005F51CC" w:rsidRPr="005C0188">
              <w:rPr>
                <w:rStyle w:val="Hipervnculo"/>
                <w:rFonts w:cstheme="minorHAnsi"/>
                <w:b/>
                <w:noProof/>
              </w:rPr>
              <w:t>1. Autorización e Historia:</w:t>
            </w:r>
            <w:r w:rsidR="005F51CC">
              <w:rPr>
                <w:noProof/>
                <w:webHidden/>
              </w:rPr>
              <w:tab/>
            </w:r>
            <w:r w:rsidR="005F51CC">
              <w:rPr>
                <w:noProof/>
                <w:webHidden/>
              </w:rPr>
              <w:fldChar w:fldCharType="begin"/>
            </w:r>
            <w:r w:rsidR="005F51CC">
              <w:rPr>
                <w:noProof/>
                <w:webHidden/>
              </w:rPr>
              <w:instrText xml:space="preserve"> PAGEREF _Toc161472866 \h </w:instrText>
            </w:r>
            <w:r w:rsidR="005F51CC">
              <w:rPr>
                <w:noProof/>
                <w:webHidden/>
              </w:rPr>
            </w:r>
            <w:r w:rsidR="005F51CC">
              <w:rPr>
                <w:noProof/>
                <w:webHidden/>
              </w:rPr>
              <w:fldChar w:fldCharType="separate"/>
            </w:r>
            <w:r w:rsidR="005F51CC">
              <w:rPr>
                <w:noProof/>
                <w:webHidden/>
              </w:rPr>
              <w:t>2</w:t>
            </w:r>
            <w:r w:rsidR="005F51CC">
              <w:rPr>
                <w:noProof/>
                <w:webHidden/>
              </w:rPr>
              <w:fldChar w:fldCharType="end"/>
            </w:r>
          </w:hyperlink>
        </w:p>
        <w:p w14:paraId="6A6756CA" w14:textId="5428BD0E" w:rsidR="005F51CC" w:rsidRDefault="00A62F0E">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67" w:history="1">
            <w:r w:rsidR="005F51CC" w:rsidRPr="005C0188">
              <w:rPr>
                <w:rStyle w:val="Hipervnculo"/>
                <w:rFonts w:cstheme="minorHAnsi"/>
                <w:b/>
                <w:noProof/>
              </w:rPr>
              <w:t>2. Panorama Económico y Financiero</w:t>
            </w:r>
            <w:r w:rsidR="005F51CC">
              <w:rPr>
                <w:noProof/>
                <w:webHidden/>
              </w:rPr>
              <w:tab/>
            </w:r>
            <w:r w:rsidR="005F51CC">
              <w:rPr>
                <w:noProof/>
                <w:webHidden/>
              </w:rPr>
              <w:fldChar w:fldCharType="begin"/>
            </w:r>
            <w:r w:rsidR="005F51CC">
              <w:rPr>
                <w:noProof/>
                <w:webHidden/>
              </w:rPr>
              <w:instrText xml:space="preserve"> PAGEREF _Toc161472867 \h </w:instrText>
            </w:r>
            <w:r w:rsidR="005F51CC">
              <w:rPr>
                <w:noProof/>
                <w:webHidden/>
              </w:rPr>
            </w:r>
            <w:r w:rsidR="005F51CC">
              <w:rPr>
                <w:noProof/>
                <w:webHidden/>
              </w:rPr>
              <w:fldChar w:fldCharType="separate"/>
            </w:r>
            <w:r w:rsidR="005F51CC">
              <w:rPr>
                <w:noProof/>
                <w:webHidden/>
              </w:rPr>
              <w:t>2</w:t>
            </w:r>
            <w:r w:rsidR="005F51CC">
              <w:rPr>
                <w:noProof/>
                <w:webHidden/>
              </w:rPr>
              <w:fldChar w:fldCharType="end"/>
            </w:r>
          </w:hyperlink>
        </w:p>
        <w:p w14:paraId="19796F35" w14:textId="77F3445E" w:rsidR="005F51CC" w:rsidRDefault="00A62F0E">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68" w:history="1">
            <w:r w:rsidR="005F51CC" w:rsidRPr="005C0188">
              <w:rPr>
                <w:rStyle w:val="Hipervnculo"/>
                <w:rFonts w:cstheme="minorHAnsi"/>
                <w:b/>
                <w:noProof/>
              </w:rPr>
              <w:t>3. Organización y Objeto Social:</w:t>
            </w:r>
            <w:r w:rsidR="005F51CC">
              <w:rPr>
                <w:noProof/>
                <w:webHidden/>
              </w:rPr>
              <w:tab/>
            </w:r>
            <w:r w:rsidR="005F51CC">
              <w:rPr>
                <w:noProof/>
                <w:webHidden/>
              </w:rPr>
              <w:fldChar w:fldCharType="begin"/>
            </w:r>
            <w:r w:rsidR="005F51CC">
              <w:rPr>
                <w:noProof/>
                <w:webHidden/>
              </w:rPr>
              <w:instrText xml:space="preserve"> PAGEREF _Toc161472868 \h </w:instrText>
            </w:r>
            <w:r w:rsidR="005F51CC">
              <w:rPr>
                <w:noProof/>
                <w:webHidden/>
              </w:rPr>
            </w:r>
            <w:r w:rsidR="005F51CC">
              <w:rPr>
                <w:noProof/>
                <w:webHidden/>
              </w:rPr>
              <w:fldChar w:fldCharType="separate"/>
            </w:r>
            <w:r w:rsidR="005F51CC">
              <w:rPr>
                <w:noProof/>
                <w:webHidden/>
              </w:rPr>
              <w:t>2</w:t>
            </w:r>
            <w:r w:rsidR="005F51CC">
              <w:rPr>
                <w:noProof/>
                <w:webHidden/>
              </w:rPr>
              <w:fldChar w:fldCharType="end"/>
            </w:r>
          </w:hyperlink>
        </w:p>
        <w:p w14:paraId="62AC0657" w14:textId="45278940" w:rsidR="005F51CC" w:rsidRDefault="00A62F0E">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69" w:history="1">
            <w:r w:rsidR="005F51CC" w:rsidRPr="005C0188">
              <w:rPr>
                <w:rStyle w:val="Hipervnculo"/>
                <w:rFonts w:cstheme="minorHAnsi"/>
                <w:b/>
                <w:noProof/>
              </w:rPr>
              <w:t>4. Bases de Preparación de los Estados Financieros:</w:t>
            </w:r>
            <w:r w:rsidR="005F51CC">
              <w:rPr>
                <w:noProof/>
                <w:webHidden/>
              </w:rPr>
              <w:tab/>
            </w:r>
            <w:r w:rsidR="005F51CC">
              <w:rPr>
                <w:noProof/>
                <w:webHidden/>
              </w:rPr>
              <w:fldChar w:fldCharType="begin"/>
            </w:r>
            <w:r w:rsidR="005F51CC">
              <w:rPr>
                <w:noProof/>
                <w:webHidden/>
              </w:rPr>
              <w:instrText xml:space="preserve"> PAGEREF _Toc161472869 \h </w:instrText>
            </w:r>
            <w:r w:rsidR="005F51CC">
              <w:rPr>
                <w:noProof/>
                <w:webHidden/>
              </w:rPr>
            </w:r>
            <w:r w:rsidR="005F51CC">
              <w:rPr>
                <w:noProof/>
                <w:webHidden/>
              </w:rPr>
              <w:fldChar w:fldCharType="separate"/>
            </w:r>
            <w:r w:rsidR="005F51CC">
              <w:rPr>
                <w:noProof/>
                <w:webHidden/>
              </w:rPr>
              <w:t>3</w:t>
            </w:r>
            <w:r w:rsidR="005F51CC">
              <w:rPr>
                <w:noProof/>
                <w:webHidden/>
              </w:rPr>
              <w:fldChar w:fldCharType="end"/>
            </w:r>
          </w:hyperlink>
        </w:p>
        <w:p w14:paraId="7C7C1962" w14:textId="7569E89F" w:rsidR="005F51CC" w:rsidRDefault="00A62F0E">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0" w:history="1">
            <w:r w:rsidR="005F51CC" w:rsidRPr="005C0188">
              <w:rPr>
                <w:rStyle w:val="Hipervnculo"/>
                <w:rFonts w:cstheme="minorHAnsi"/>
                <w:b/>
                <w:noProof/>
              </w:rPr>
              <w:t>5. Políticas de Contabilidad Significativas:</w:t>
            </w:r>
            <w:r w:rsidR="005F51CC">
              <w:rPr>
                <w:noProof/>
                <w:webHidden/>
              </w:rPr>
              <w:tab/>
            </w:r>
            <w:r w:rsidR="005F51CC">
              <w:rPr>
                <w:noProof/>
                <w:webHidden/>
              </w:rPr>
              <w:fldChar w:fldCharType="begin"/>
            </w:r>
            <w:r w:rsidR="005F51CC">
              <w:rPr>
                <w:noProof/>
                <w:webHidden/>
              </w:rPr>
              <w:instrText xml:space="preserve"> PAGEREF _Toc161472870 \h </w:instrText>
            </w:r>
            <w:r w:rsidR="005F51CC">
              <w:rPr>
                <w:noProof/>
                <w:webHidden/>
              </w:rPr>
            </w:r>
            <w:r w:rsidR="005F51CC">
              <w:rPr>
                <w:noProof/>
                <w:webHidden/>
              </w:rPr>
              <w:fldChar w:fldCharType="separate"/>
            </w:r>
            <w:r w:rsidR="005F51CC">
              <w:rPr>
                <w:noProof/>
                <w:webHidden/>
              </w:rPr>
              <w:t>4</w:t>
            </w:r>
            <w:r w:rsidR="005F51CC">
              <w:rPr>
                <w:noProof/>
                <w:webHidden/>
              </w:rPr>
              <w:fldChar w:fldCharType="end"/>
            </w:r>
          </w:hyperlink>
        </w:p>
        <w:p w14:paraId="3FE6C661" w14:textId="3433CD09" w:rsidR="005F51CC" w:rsidRDefault="00A62F0E">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1" w:history="1">
            <w:r w:rsidR="005F51CC" w:rsidRPr="005C0188">
              <w:rPr>
                <w:rStyle w:val="Hipervnculo"/>
                <w:rFonts w:cstheme="minorHAnsi"/>
                <w:b/>
                <w:noProof/>
              </w:rPr>
              <w:t>6. Posición en Moneda Extranjera y Protección por Riesgo Cambiario:</w:t>
            </w:r>
            <w:r w:rsidR="005F51CC">
              <w:rPr>
                <w:noProof/>
                <w:webHidden/>
              </w:rPr>
              <w:tab/>
            </w:r>
            <w:r w:rsidR="005F51CC">
              <w:rPr>
                <w:noProof/>
                <w:webHidden/>
              </w:rPr>
              <w:fldChar w:fldCharType="begin"/>
            </w:r>
            <w:r w:rsidR="005F51CC">
              <w:rPr>
                <w:noProof/>
                <w:webHidden/>
              </w:rPr>
              <w:instrText xml:space="preserve"> PAGEREF _Toc161472871 \h </w:instrText>
            </w:r>
            <w:r w:rsidR="005F51CC">
              <w:rPr>
                <w:noProof/>
                <w:webHidden/>
              </w:rPr>
            </w:r>
            <w:r w:rsidR="005F51CC">
              <w:rPr>
                <w:noProof/>
                <w:webHidden/>
              </w:rPr>
              <w:fldChar w:fldCharType="separate"/>
            </w:r>
            <w:r w:rsidR="005F51CC">
              <w:rPr>
                <w:noProof/>
                <w:webHidden/>
              </w:rPr>
              <w:t>6</w:t>
            </w:r>
            <w:r w:rsidR="005F51CC">
              <w:rPr>
                <w:noProof/>
                <w:webHidden/>
              </w:rPr>
              <w:fldChar w:fldCharType="end"/>
            </w:r>
          </w:hyperlink>
        </w:p>
        <w:p w14:paraId="135541CC" w14:textId="06594711" w:rsidR="005F51CC" w:rsidRDefault="00A62F0E">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2" w:history="1">
            <w:r w:rsidR="005F51CC" w:rsidRPr="005C0188">
              <w:rPr>
                <w:rStyle w:val="Hipervnculo"/>
                <w:rFonts w:cstheme="minorHAnsi"/>
                <w:b/>
                <w:noProof/>
              </w:rPr>
              <w:t>7. Reporte Analítico del Activo:</w:t>
            </w:r>
            <w:r w:rsidR="005F51CC">
              <w:rPr>
                <w:noProof/>
                <w:webHidden/>
              </w:rPr>
              <w:tab/>
            </w:r>
            <w:r w:rsidR="005F51CC">
              <w:rPr>
                <w:noProof/>
                <w:webHidden/>
              </w:rPr>
              <w:fldChar w:fldCharType="begin"/>
            </w:r>
            <w:r w:rsidR="005F51CC">
              <w:rPr>
                <w:noProof/>
                <w:webHidden/>
              </w:rPr>
              <w:instrText xml:space="preserve"> PAGEREF _Toc161472872 \h </w:instrText>
            </w:r>
            <w:r w:rsidR="005F51CC">
              <w:rPr>
                <w:noProof/>
                <w:webHidden/>
              </w:rPr>
            </w:r>
            <w:r w:rsidR="005F51CC">
              <w:rPr>
                <w:noProof/>
                <w:webHidden/>
              </w:rPr>
              <w:fldChar w:fldCharType="separate"/>
            </w:r>
            <w:r w:rsidR="005F51CC">
              <w:rPr>
                <w:noProof/>
                <w:webHidden/>
              </w:rPr>
              <w:t>7</w:t>
            </w:r>
            <w:r w:rsidR="005F51CC">
              <w:rPr>
                <w:noProof/>
                <w:webHidden/>
              </w:rPr>
              <w:fldChar w:fldCharType="end"/>
            </w:r>
          </w:hyperlink>
        </w:p>
        <w:p w14:paraId="48C9D852" w14:textId="5DDCB4F7" w:rsidR="005F51CC" w:rsidRDefault="00A62F0E">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3" w:history="1">
            <w:r w:rsidR="005F51CC" w:rsidRPr="005C0188">
              <w:rPr>
                <w:rStyle w:val="Hipervnculo"/>
                <w:rFonts w:cstheme="minorHAnsi"/>
                <w:b/>
                <w:noProof/>
              </w:rPr>
              <w:t>8. Fideicomisos, Mandatos y Análogos:</w:t>
            </w:r>
            <w:r w:rsidR="005F51CC">
              <w:rPr>
                <w:noProof/>
                <w:webHidden/>
              </w:rPr>
              <w:tab/>
            </w:r>
            <w:r w:rsidR="005F51CC">
              <w:rPr>
                <w:noProof/>
                <w:webHidden/>
              </w:rPr>
              <w:fldChar w:fldCharType="begin"/>
            </w:r>
            <w:r w:rsidR="005F51CC">
              <w:rPr>
                <w:noProof/>
                <w:webHidden/>
              </w:rPr>
              <w:instrText xml:space="preserve"> PAGEREF _Toc161472873 \h </w:instrText>
            </w:r>
            <w:r w:rsidR="005F51CC">
              <w:rPr>
                <w:noProof/>
                <w:webHidden/>
              </w:rPr>
            </w:r>
            <w:r w:rsidR="005F51CC">
              <w:rPr>
                <w:noProof/>
                <w:webHidden/>
              </w:rPr>
              <w:fldChar w:fldCharType="separate"/>
            </w:r>
            <w:r w:rsidR="005F51CC">
              <w:rPr>
                <w:noProof/>
                <w:webHidden/>
              </w:rPr>
              <w:t>8</w:t>
            </w:r>
            <w:r w:rsidR="005F51CC">
              <w:rPr>
                <w:noProof/>
                <w:webHidden/>
              </w:rPr>
              <w:fldChar w:fldCharType="end"/>
            </w:r>
          </w:hyperlink>
        </w:p>
        <w:p w14:paraId="027C97E3" w14:textId="6F133564" w:rsidR="005F51CC" w:rsidRDefault="00A62F0E">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4" w:history="1">
            <w:r w:rsidR="005F51CC" w:rsidRPr="005C0188">
              <w:rPr>
                <w:rStyle w:val="Hipervnculo"/>
                <w:rFonts w:cstheme="minorHAnsi"/>
                <w:b/>
                <w:noProof/>
              </w:rPr>
              <w:t>9. Reporte de la Recaudación:</w:t>
            </w:r>
            <w:r w:rsidR="005F51CC">
              <w:rPr>
                <w:noProof/>
                <w:webHidden/>
              </w:rPr>
              <w:tab/>
            </w:r>
            <w:r w:rsidR="005F51CC">
              <w:rPr>
                <w:noProof/>
                <w:webHidden/>
              </w:rPr>
              <w:fldChar w:fldCharType="begin"/>
            </w:r>
            <w:r w:rsidR="005F51CC">
              <w:rPr>
                <w:noProof/>
                <w:webHidden/>
              </w:rPr>
              <w:instrText xml:space="preserve"> PAGEREF _Toc161472874 \h </w:instrText>
            </w:r>
            <w:r w:rsidR="005F51CC">
              <w:rPr>
                <w:noProof/>
                <w:webHidden/>
              </w:rPr>
            </w:r>
            <w:r w:rsidR="005F51CC">
              <w:rPr>
                <w:noProof/>
                <w:webHidden/>
              </w:rPr>
              <w:fldChar w:fldCharType="separate"/>
            </w:r>
            <w:r w:rsidR="005F51CC">
              <w:rPr>
                <w:noProof/>
                <w:webHidden/>
              </w:rPr>
              <w:t>9</w:t>
            </w:r>
            <w:r w:rsidR="005F51CC">
              <w:rPr>
                <w:noProof/>
                <w:webHidden/>
              </w:rPr>
              <w:fldChar w:fldCharType="end"/>
            </w:r>
          </w:hyperlink>
        </w:p>
        <w:p w14:paraId="00DB87A1" w14:textId="0E5C6D6B" w:rsidR="005F51CC" w:rsidRDefault="00A62F0E">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5" w:history="1">
            <w:r w:rsidR="005F51CC" w:rsidRPr="005C0188">
              <w:rPr>
                <w:rStyle w:val="Hipervnculo"/>
                <w:rFonts w:cstheme="minorHAnsi"/>
                <w:b/>
                <w:noProof/>
              </w:rPr>
              <w:t>10. Información sobre la Deuda y el Reporte Analítico de la Deuda:</w:t>
            </w:r>
            <w:r w:rsidR="005F51CC">
              <w:rPr>
                <w:noProof/>
                <w:webHidden/>
              </w:rPr>
              <w:tab/>
            </w:r>
            <w:r w:rsidR="005F51CC">
              <w:rPr>
                <w:noProof/>
                <w:webHidden/>
              </w:rPr>
              <w:fldChar w:fldCharType="begin"/>
            </w:r>
            <w:r w:rsidR="005F51CC">
              <w:rPr>
                <w:noProof/>
                <w:webHidden/>
              </w:rPr>
              <w:instrText xml:space="preserve"> PAGEREF _Toc161472875 \h </w:instrText>
            </w:r>
            <w:r w:rsidR="005F51CC">
              <w:rPr>
                <w:noProof/>
                <w:webHidden/>
              </w:rPr>
            </w:r>
            <w:r w:rsidR="005F51CC">
              <w:rPr>
                <w:noProof/>
                <w:webHidden/>
              </w:rPr>
              <w:fldChar w:fldCharType="separate"/>
            </w:r>
            <w:r w:rsidR="005F51CC">
              <w:rPr>
                <w:noProof/>
                <w:webHidden/>
              </w:rPr>
              <w:t>9</w:t>
            </w:r>
            <w:r w:rsidR="005F51CC">
              <w:rPr>
                <w:noProof/>
                <w:webHidden/>
              </w:rPr>
              <w:fldChar w:fldCharType="end"/>
            </w:r>
          </w:hyperlink>
        </w:p>
        <w:p w14:paraId="00EEECC2" w14:textId="7F2B838A" w:rsidR="005F51CC" w:rsidRDefault="00A62F0E">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6" w:history="1">
            <w:r w:rsidR="005F51CC" w:rsidRPr="005C0188">
              <w:rPr>
                <w:rStyle w:val="Hipervnculo"/>
                <w:rFonts w:cstheme="minorHAnsi"/>
                <w:b/>
                <w:noProof/>
              </w:rPr>
              <w:t>11. Calificaciones otorgadas:</w:t>
            </w:r>
            <w:r w:rsidR="005F51CC">
              <w:rPr>
                <w:noProof/>
                <w:webHidden/>
              </w:rPr>
              <w:tab/>
            </w:r>
            <w:r w:rsidR="005F51CC">
              <w:rPr>
                <w:noProof/>
                <w:webHidden/>
              </w:rPr>
              <w:fldChar w:fldCharType="begin"/>
            </w:r>
            <w:r w:rsidR="005F51CC">
              <w:rPr>
                <w:noProof/>
                <w:webHidden/>
              </w:rPr>
              <w:instrText xml:space="preserve"> PAGEREF _Toc161472876 \h </w:instrText>
            </w:r>
            <w:r w:rsidR="005F51CC">
              <w:rPr>
                <w:noProof/>
                <w:webHidden/>
              </w:rPr>
            </w:r>
            <w:r w:rsidR="005F51CC">
              <w:rPr>
                <w:noProof/>
                <w:webHidden/>
              </w:rPr>
              <w:fldChar w:fldCharType="separate"/>
            </w:r>
            <w:r w:rsidR="005F51CC">
              <w:rPr>
                <w:noProof/>
                <w:webHidden/>
              </w:rPr>
              <w:t>9</w:t>
            </w:r>
            <w:r w:rsidR="005F51CC">
              <w:rPr>
                <w:noProof/>
                <w:webHidden/>
              </w:rPr>
              <w:fldChar w:fldCharType="end"/>
            </w:r>
          </w:hyperlink>
        </w:p>
        <w:p w14:paraId="68FD7A9A" w14:textId="2CE0C7FE" w:rsidR="005F51CC" w:rsidRDefault="00A62F0E">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7" w:history="1">
            <w:r w:rsidR="005F51CC" w:rsidRPr="005C0188">
              <w:rPr>
                <w:rStyle w:val="Hipervnculo"/>
                <w:rFonts w:cstheme="minorHAnsi"/>
                <w:b/>
                <w:noProof/>
              </w:rPr>
              <w:t>12. Proceso de Mejora:</w:t>
            </w:r>
            <w:r w:rsidR="005F51CC">
              <w:rPr>
                <w:noProof/>
                <w:webHidden/>
              </w:rPr>
              <w:tab/>
            </w:r>
            <w:r w:rsidR="005F51CC">
              <w:rPr>
                <w:noProof/>
                <w:webHidden/>
              </w:rPr>
              <w:fldChar w:fldCharType="begin"/>
            </w:r>
            <w:r w:rsidR="005F51CC">
              <w:rPr>
                <w:noProof/>
                <w:webHidden/>
              </w:rPr>
              <w:instrText xml:space="preserve"> PAGEREF _Toc161472877 \h </w:instrText>
            </w:r>
            <w:r w:rsidR="005F51CC">
              <w:rPr>
                <w:noProof/>
                <w:webHidden/>
              </w:rPr>
            </w:r>
            <w:r w:rsidR="005F51CC">
              <w:rPr>
                <w:noProof/>
                <w:webHidden/>
              </w:rPr>
              <w:fldChar w:fldCharType="separate"/>
            </w:r>
            <w:r w:rsidR="005F51CC">
              <w:rPr>
                <w:noProof/>
                <w:webHidden/>
              </w:rPr>
              <w:t>9</w:t>
            </w:r>
            <w:r w:rsidR="005F51CC">
              <w:rPr>
                <w:noProof/>
                <w:webHidden/>
              </w:rPr>
              <w:fldChar w:fldCharType="end"/>
            </w:r>
          </w:hyperlink>
        </w:p>
        <w:p w14:paraId="5F55527F" w14:textId="527A5CEA" w:rsidR="005F51CC" w:rsidRDefault="00A62F0E">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8" w:history="1">
            <w:r w:rsidR="005F51CC" w:rsidRPr="005C0188">
              <w:rPr>
                <w:rStyle w:val="Hipervnculo"/>
                <w:rFonts w:cstheme="minorHAnsi"/>
                <w:b/>
                <w:noProof/>
              </w:rPr>
              <w:t>13. Información por Segmentos:</w:t>
            </w:r>
            <w:r w:rsidR="005F51CC">
              <w:rPr>
                <w:noProof/>
                <w:webHidden/>
              </w:rPr>
              <w:tab/>
            </w:r>
            <w:r w:rsidR="005F51CC">
              <w:rPr>
                <w:noProof/>
                <w:webHidden/>
              </w:rPr>
              <w:fldChar w:fldCharType="begin"/>
            </w:r>
            <w:r w:rsidR="005F51CC">
              <w:rPr>
                <w:noProof/>
                <w:webHidden/>
              </w:rPr>
              <w:instrText xml:space="preserve"> PAGEREF _Toc161472878 \h </w:instrText>
            </w:r>
            <w:r w:rsidR="005F51CC">
              <w:rPr>
                <w:noProof/>
                <w:webHidden/>
              </w:rPr>
            </w:r>
            <w:r w:rsidR="005F51CC">
              <w:rPr>
                <w:noProof/>
                <w:webHidden/>
              </w:rPr>
              <w:fldChar w:fldCharType="separate"/>
            </w:r>
            <w:r w:rsidR="005F51CC">
              <w:rPr>
                <w:noProof/>
                <w:webHidden/>
              </w:rPr>
              <w:t>10</w:t>
            </w:r>
            <w:r w:rsidR="005F51CC">
              <w:rPr>
                <w:noProof/>
                <w:webHidden/>
              </w:rPr>
              <w:fldChar w:fldCharType="end"/>
            </w:r>
          </w:hyperlink>
        </w:p>
        <w:p w14:paraId="674ABB69" w14:textId="7086AD9C" w:rsidR="005F51CC" w:rsidRDefault="00A62F0E">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9" w:history="1">
            <w:r w:rsidR="005F51CC" w:rsidRPr="005C0188">
              <w:rPr>
                <w:rStyle w:val="Hipervnculo"/>
                <w:rFonts w:cstheme="minorHAnsi"/>
                <w:b/>
                <w:noProof/>
              </w:rPr>
              <w:t>14. Eventos Posteriores al Cierre:</w:t>
            </w:r>
            <w:r w:rsidR="005F51CC">
              <w:rPr>
                <w:noProof/>
                <w:webHidden/>
              </w:rPr>
              <w:tab/>
            </w:r>
            <w:r w:rsidR="005F51CC">
              <w:rPr>
                <w:noProof/>
                <w:webHidden/>
              </w:rPr>
              <w:fldChar w:fldCharType="begin"/>
            </w:r>
            <w:r w:rsidR="005F51CC">
              <w:rPr>
                <w:noProof/>
                <w:webHidden/>
              </w:rPr>
              <w:instrText xml:space="preserve"> PAGEREF _Toc161472879 \h </w:instrText>
            </w:r>
            <w:r w:rsidR="005F51CC">
              <w:rPr>
                <w:noProof/>
                <w:webHidden/>
              </w:rPr>
            </w:r>
            <w:r w:rsidR="005F51CC">
              <w:rPr>
                <w:noProof/>
                <w:webHidden/>
              </w:rPr>
              <w:fldChar w:fldCharType="separate"/>
            </w:r>
            <w:r w:rsidR="005F51CC">
              <w:rPr>
                <w:noProof/>
                <w:webHidden/>
              </w:rPr>
              <w:t>10</w:t>
            </w:r>
            <w:r w:rsidR="005F51CC">
              <w:rPr>
                <w:noProof/>
                <w:webHidden/>
              </w:rPr>
              <w:fldChar w:fldCharType="end"/>
            </w:r>
          </w:hyperlink>
        </w:p>
        <w:p w14:paraId="39048CDA" w14:textId="5AD0C96E" w:rsidR="005F51CC" w:rsidRDefault="00A62F0E">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80" w:history="1">
            <w:r w:rsidR="005F51CC" w:rsidRPr="005C0188">
              <w:rPr>
                <w:rStyle w:val="Hipervnculo"/>
                <w:rFonts w:cstheme="minorHAnsi"/>
                <w:b/>
                <w:noProof/>
              </w:rPr>
              <w:t>15. Partes Relacionadas:</w:t>
            </w:r>
            <w:r w:rsidR="005F51CC">
              <w:rPr>
                <w:noProof/>
                <w:webHidden/>
              </w:rPr>
              <w:tab/>
            </w:r>
            <w:r w:rsidR="005F51CC">
              <w:rPr>
                <w:noProof/>
                <w:webHidden/>
              </w:rPr>
              <w:fldChar w:fldCharType="begin"/>
            </w:r>
            <w:r w:rsidR="005F51CC">
              <w:rPr>
                <w:noProof/>
                <w:webHidden/>
              </w:rPr>
              <w:instrText xml:space="preserve"> PAGEREF _Toc161472880 \h </w:instrText>
            </w:r>
            <w:r w:rsidR="005F51CC">
              <w:rPr>
                <w:noProof/>
                <w:webHidden/>
              </w:rPr>
            </w:r>
            <w:r w:rsidR="005F51CC">
              <w:rPr>
                <w:noProof/>
                <w:webHidden/>
              </w:rPr>
              <w:fldChar w:fldCharType="separate"/>
            </w:r>
            <w:r w:rsidR="005F51CC">
              <w:rPr>
                <w:noProof/>
                <w:webHidden/>
              </w:rPr>
              <w:t>10</w:t>
            </w:r>
            <w:r w:rsidR="005F51CC">
              <w:rPr>
                <w:noProof/>
                <w:webHidden/>
              </w:rPr>
              <w:fldChar w:fldCharType="end"/>
            </w:r>
          </w:hyperlink>
        </w:p>
        <w:p w14:paraId="7E9C5BA3" w14:textId="2249A661" w:rsidR="005F51CC" w:rsidRDefault="00A62F0E">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81" w:history="1">
            <w:r w:rsidR="005F51CC" w:rsidRPr="005C0188">
              <w:rPr>
                <w:rStyle w:val="Hipervnculo"/>
                <w:rFonts w:cstheme="minorHAnsi"/>
                <w:b/>
                <w:noProof/>
              </w:rPr>
              <w:t>16. Responsabilidad Sobre la Presentación Razonable de la Información Contable:</w:t>
            </w:r>
            <w:r w:rsidR="005F51CC">
              <w:rPr>
                <w:noProof/>
                <w:webHidden/>
              </w:rPr>
              <w:tab/>
            </w:r>
            <w:r w:rsidR="005F51CC">
              <w:rPr>
                <w:noProof/>
                <w:webHidden/>
              </w:rPr>
              <w:fldChar w:fldCharType="begin"/>
            </w:r>
            <w:r w:rsidR="005F51CC">
              <w:rPr>
                <w:noProof/>
                <w:webHidden/>
              </w:rPr>
              <w:instrText xml:space="preserve"> PAGEREF _Toc161472881 \h </w:instrText>
            </w:r>
            <w:r w:rsidR="005F51CC">
              <w:rPr>
                <w:noProof/>
                <w:webHidden/>
              </w:rPr>
            </w:r>
            <w:r w:rsidR="005F51CC">
              <w:rPr>
                <w:noProof/>
                <w:webHidden/>
              </w:rPr>
              <w:fldChar w:fldCharType="separate"/>
            </w:r>
            <w:r w:rsidR="005F51CC">
              <w:rPr>
                <w:noProof/>
                <w:webHidden/>
              </w:rPr>
              <w:t>10</w:t>
            </w:r>
            <w:r w:rsidR="005F51CC">
              <w:rPr>
                <w:noProof/>
                <w:webHidden/>
              </w:rPr>
              <w:fldChar w:fldCharType="end"/>
            </w:r>
          </w:hyperlink>
        </w:p>
        <w:p w14:paraId="43551857" w14:textId="4F747141" w:rsidR="00F46719" w:rsidRDefault="00F46719">
          <w:r>
            <w:rPr>
              <w:b/>
              <w:bCs/>
              <w:lang w:val="es-ES"/>
            </w:rPr>
            <w:fldChar w:fldCharType="end"/>
          </w:r>
        </w:p>
      </w:sdtContent>
    </w:sdt>
    <w:p w14:paraId="7203E26E" w14:textId="77777777" w:rsidR="007D1E76" w:rsidRPr="00E74967" w:rsidRDefault="007D1E76" w:rsidP="00CB41C4">
      <w:pPr>
        <w:tabs>
          <w:tab w:val="left" w:leader="underscore" w:pos="9639"/>
        </w:tabs>
        <w:spacing w:after="0" w:line="240" w:lineRule="auto"/>
        <w:jc w:val="both"/>
        <w:rPr>
          <w:rFonts w:cs="Calibri"/>
        </w:rPr>
      </w:pPr>
    </w:p>
    <w:p w14:paraId="3285DC0B" w14:textId="77777777" w:rsidR="007D1E76" w:rsidRPr="00E74967" w:rsidRDefault="007D1E76" w:rsidP="00CB41C4">
      <w:pPr>
        <w:tabs>
          <w:tab w:val="left" w:leader="underscore" w:pos="9639"/>
        </w:tabs>
        <w:spacing w:after="0" w:line="240" w:lineRule="auto"/>
        <w:jc w:val="both"/>
        <w:rPr>
          <w:rFonts w:cs="Calibri"/>
        </w:rPr>
      </w:pPr>
    </w:p>
    <w:p w14:paraId="54575967" w14:textId="09BF8276" w:rsidR="007D1E76" w:rsidRPr="000C3365" w:rsidRDefault="007E38A2" w:rsidP="000C3365">
      <w:pPr>
        <w:pStyle w:val="Ttulo2"/>
        <w:rPr>
          <w:rFonts w:asciiTheme="minorHAnsi" w:hAnsiTheme="minorHAnsi" w:cstheme="minorHAnsi"/>
          <w:b/>
          <w:color w:val="auto"/>
          <w:sz w:val="22"/>
        </w:rPr>
      </w:pPr>
      <w:bookmarkStart w:id="0" w:name="_Toc161472866"/>
      <w:r>
        <w:rPr>
          <w:rFonts w:asciiTheme="minorHAnsi" w:hAnsiTheme="minorHAnsi" w:cstheme="minorHAnsi"/>
          <w:b/>
          <w:color w:val="auto"/>
          <w:sz w:val="22"/>
        </w:rPr>
        <w:t>1</w:t>
      </w:r>
      <w:r w:rsidR="007D1E76" w:rsidRPr="000C3365">
        <w:rPr>
          <w:rFonts w:asciiTheme="minorHAnsi" w:hAnsiTheme="minorHAnsi" w:cstheme="minorHAnsi"/>
          <w:b/>
          <w:color w:val="auto"/>
          <w:sz w:val="22"/>
        </w:rPr>
        <w:t>. Autoriza</w:t>
      </w:r>
      <w:r w:rsidR="00E00323" w:rsidRPr="000C3365">
        <w:rPr>
          <w:rFonts w:asciiTheme="minorHAnsi" w:hAnsiTheme="minorHAnsi" w:cstheme="minorHAnsi"/>
          <w:b/>
          <w:color w:val="auto"/>
          <w:sz w:val="22"/>
        </w:rPr>
        <w:t>ción e Historia:</w:t>
      </w:r>
      <w:bookmarkEnd w:id="0"/>
    </w:p>
    <w:p w14:paraId="360DA23B" w14:textId="77777777" w:rsidR="007D1E76" w:rsidRPr="00E74967" w:rsidRDefault="007D1E76" w:rsidP="00CB41C4">
      <w:pPr>
        <w:tabs>
          <w:tab w:val="left" w:leader="underscore" w:pos="9639"/>
        </w:tabs>
        <w:spacing w:after="0" w:line="240" w:lineRule="auto"/>
        <w:jc w:val="both"/>
        <w:rPr>
          <w:rFonts w:cs="Calibri"/>
        </w:rPr>
      </w:pPr>
    </w:p>
    <w:p w14:paraId="441574C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62E74E7" w14:textId="77777777" w:rsidR="007D1E76" w:rsidRPr="00E74967" w:rsidRDefault="007D1E76" w:rsidP="00CB41C4">
      <w:pPr>
        <w:tabs>
          <w:tab w:val="left" w:leader="underscore" w:pos="9639"/>
        </w:tabs>
        <w:spacing w:after="0" w:line="240" w:lineRule="auto"/>
        <w:jc w:val="both"/>
        <w:rPr>
          <w:rFonts w:cs="Calibri"/>
        </w:rPr>
      </w:pPr>
    </w:p>
    <w:p w14:paraId="3F477DA3" w14:textId="72F8AFA1"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Fecha de creación del ente</w:t>
      </w:r>
      <w:r w:rsidR="00F43AC5">
        <w:rPr>
          <w:rFonts w:cs="Calibri"/>
        </w:rPr>
        <w:t xml:space="preserve"> público.</w:t>
      </w:r>
    </w:p>
    <w:p w14:paraId="1223E428" w14:textId="77777777" w:rsidR="00684909" w:rsidRPr="001A0994" w:rsidRDefault="00684909" w:rsidP="00684909">
      <w:pPr>
        <w:spacing w:after="0" w:line="240" w:lineRule="auto"/>
        <w:jc w:val="both"/>
        <w:rPr>
          <w:rFonts w:asciiTheme="minorHAnsi" w:hAnsiTheme="minorHAnsi" w:cstheme="minorHAnsi"/>
        </w:rPr>
      </w:pPr>
      <w:r w:rsidRPr="001A0994">
        <w:rPr>
          <w:rFonts w:asciiTheme="minorHAnsi" w:hAnsiTheme="minorHAnsi" w:cstheme="minorHAnsi"/>
        </w:rPr>
        <w:t>Con fecha 01 de Febrero de 1986; se crea para prestación de los servicios públicos del Agua Potable, Alcantarillado, Saneamiento y Tratamiento de Aguas Residuales en la cabecera Municipal de Moroleón, Guanajuato un organismo público descentralizado de la Administración Pública Municipal, con personalidad jurídica y patrimonio propios, que tendrá su domicilio en el Municipio de Moroleón, Guanajuato, el cual continúa denominándose “Sistema Municipal de Agua Potable y Alcantarillado de Moroleón”, identificándose con las siglas S.M.A.P.A.M.</w:t>
      </w:r>
    </w:p>
    <w:p w14:paraId="4F52E4E0" w14:textId="77777777" w:rsidR="007D1E76" w:rsidRPr="00E74967" w:rsidRDefault="007D1E76" w:rsidP="00CB41C4">
      <w:pPr>
        <w:tabs>
          <w:tab w:val="left" w:leader="underscore" w:pos="9639"/>
        </w:tabs>
        <w:spacing w:after="0" w:line="240" w:lineRule="auto"/>
        <w:jc w:val="both"/>
        <w:rPr>
          <w:rFonts w:cs="Calibri"/>
        </w:rPr>
      </w:pPr>
    </w:p>
    <w:p w14:paraId="3A2353B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Principales cambios en su estructura (interna históricamente).</w:t>
      </w:r>
    </w:p>
    <w:p w14:paraId="1F7FFC72" w14:textId="77777777" w:rsidR="00684909" w:rsidRPr="00BC5342" w:rsidRDefault="00684909" w:rsidP="00684909">
      <w:pPr>
        <w:spacing w:after="0" w:line="240" w:lineRule="auto"/>
        <w:jc w:val="both"/>
        <w:rPr>
          <w:rFonts w:cs="Calibri"/>
        </w:rPr>
      </w:pPr>
      <w:r w:rsidRPr="001A0994">
        <w:rPr>
          <w:rFonts w:asciiTheme="minorHAnsi" w:hAnsiTheme="minorHAnsi" w:cstheme="minorHAnsi"/>
        </w:rPr>
        <w:t xml:space="preserve">Como acontecía en muchas poblaciones del Estado de Guanajuato, Moroleón carecía desde su fundación del servicio de agua potable y para proveerse de este preciado líquido, tan necesario para todas las necesidades de la existencia, el agua se extraía de pozos poco profundos que existían en la mayoría de las casas de la población, los cuales tenían el inconveniente de, que a ellos fueran a dar las filtraciones tanto de la superficie de la tierra como de las fosas sépticas, filtraciones que contaminaban el agua con gérmenes patógenos. A esta circunstancia se debía que en Moroleón fueran. Endémicas la tifoidea, paratifoidea, amibiasis y demás </w:t>
      </w:r>
      <w:r w:rsidRPr="00BC5342">
        <w:rPr>
          <w:rFonts w:cs="Calibri"/>
        </w:rPr>
        <w:t>enfermedades gastrointestinales de origen hídrico, que hacían estragos tremendos especialmente entre los niños; por lo cual el Índice de mortalidad infantil era muy elevado.</w:t>
      </w:r>
    </w:p>
    <w:p w14:paraId="0C046B12" w14:textId="77777777" w:rsidR="00684909" w:rsidRPr="00BC5342" w:rsidRDefault="00684909" w:rsidP="00684909">
      <w:pPr>
        <w:spacing w:after="0" w:line="240" w:lineRule="auto"/>
        <w:jc w:val="both"/>
        <w:rPr>
          <w:rFonts w:cs="Calibri"/>
        </w:rPr>
      </w:pPr>
    </w:p>
    <w:p w14:paraId="208C5A39" w14:textId="77777777" w:rsidR="00684909" w:rsidRPr="00BC5342" w:rsidRDefault="00684909" w:rsidP="00684909">
      <w:pPr>
        <w:spacing w:after="0" w:line="240" w:lineRule="auto"/>
        <w:jc w:val="both"/>
        <w:rPr>
          <w:rFonts w:cs="Calibri"/>
        </w:rPr>
      </w:pPr>
      <w:r w:rsidRPr="00BC5342">
        <w:rPr>
          <w:rFonts w:cs="Calibri"/>
        </w:rPr>
        <w:t>Siendo del todo indispensable la captación de agua potable para uso de la población, en el año de 1943 se constituyó un Comité que se encargara de los trabajos de perforación de un pozo artesiano en un terreno situado al Norte de la ciudad y conocido. Con él nombre de El Ojo de Agüita. Se concibió en un principio la idea de que la construcción de las obras de este servicio de agua potable se llevara a cabo mediante la aportación económica del vecindario y contando con el apoyo del Gobierno del Estado que regenteaba Don Ernesto Hidalgo. El Comité quedo constituido por el señor Dr. Abel Cerna Martínez, como Presidente; Carlos Ortiz Vera, como Vicepresidente; Fidel Garibay G., como Secretario; J. Trinidad Lara, como Tesorero y como Vocales los señores José Orozco Díaz, Aurelio Zavala, J. Eduviges Gaytán, Ramón Escogido, Ramón Gordillo, Jesús Cerna Juárez, Dr. Miguel Cerna Martínez, Dr. Raymundo Yánez, Arnulfo Ortiz, Camilo Ortiz, Emilio Zavala Ramírez, Ildefonso Cerna, José Almanza Dueñas y Maurilio Cerna, quienes desplegaron una gran actividad haciendo labor de convencimiento entre los habitantes de la población y celebrando frecuentes entrevistas con el señor Gobernador del Estado.</w:t>
      </w:r>
    </w:p>
    <w:p w14:paraId="436DF787" w14:textId="77777777" w:rsidR="00684909" w:rsidRPr="00BC5342" w:rsidRDefault="00684909" w:rsidP="00684909">
      <w:pPr>
        <w:spacing w:after="0" w:line="240" w:lineRule="auto"/>
        <w:jc w:val="both"/>
        <w:rPr>
          <w:rFonts w:cs="Calibri"/>
        </w:rPr>
      </w:pPr>
    </w:p>
    <w:p w14:paraId="6CBDC012" w14:textId="77777777" w:rsidR="00684909" w:rsidRPr="00BC5342" w:rsidRDefault="00684909" w:rsidP="00684909">
      <w:pPr>
        <w:spacing w:after="0" w:line="240" w:lineRule="auto"/>
        <w:jc w:val="both"/>
        <w:rPr>
          <w:rFonts w:cs="Calibri"/>
        </w:rPr>
      </w:pPr>
      <w:r w:rsidRPr="00BC5342">
        <w:rPr>
          <w:rFonts w:cs="Calibri"/>
        </w:rPr>
        <w:t>Contando con el respaldo del Gobierno del Estado se hicieron las gestiones ante la Secretaria de Recursos Hidráulicos para que esta dependencia Federal llevara a cabo la construcción del pozo artesiano, siendo financiada la obra por el Banco Nacional Hipotecario Urbano y de Obras Públicas.</w:t>
      </w:r>
    </w:p>
    <w:p w14:paraId="467E5E10" w14:textId="77777777" w:rsidR="00684909" w:rsidRPr="00BC5342" w:rsidRDefault="00684909" w:rsidP="00684909">
      <w:pPr>
        <w:spacing w:after="0" w:line="240" w:lineRule="auto"/>
        <w:jc w:val="both"/>
        <w:rPr>
          <w:rFonts w:cs="Calibri"/>
        </w:rPr>
      </w:pPr>
    </w:p>
    <w:p w14:paraId="78EB5876" w14:textId="77777777" w:rsidR="00684909" w:rsidRPr="00BC5342" w:rsidRDefault="00684909" w:rsidP="00684909">
      <w:pPr>
        <w:spacing w:after="0" w:line="240" w:lineRule="auto"/>
        <w:jc w:val="both"/>
        <w:rPr>
          <w:rFonts w:cs="Calibri"/>
        </w:rPr>
      </w:pPr>
      <w:r w:rsidRPr="00BC5342">
        <w:rPr>
          <w:rFonts w:cs="Calibri"/>
        </w:rPr>
        <w:t>Así se realizó la obra, surgiendo de la profundidad de la tierra el líquido maravilloso. Se abrieron en todas las calles las cepas correspondientes para colocar las tuberías de fierro y se instalaron en las casas que lo solicitaron los aparatos para las tomas de agua y bien pronto con el regocijo de toda la población el agua potable llego a todos los hogares.</w:t>
      </w:r>
    </w:p>
    <w:p w14:paraId="3843474F" w14:textId="77777777" w:rsidR="007D1E76" w:rsidRPr="00E74967" w:rsidRDefault="007D1E76" w:rsidP="00CB41C4">
      <w:pPr>
        <w:tabs>
          <w:tab w:val="left" w:leader="underscore" w:pos="9639"/>
        </w:tabs>
        <w:spacing w:after="0" w:line="240" w:lineRule="auto"/>
        <w:jc w:val="both"/>
        <w:rPr>
          <w:rFonts w:cs="Calibri"/>
        </w:rPr>
      </w:pPr>
    </w:p>
    <w:p w14:paraId="16A215A1" w14:textId="77777777" w:rsidR="00516A8F" w:rsidRPr="00E74967" w:rsidRDefault="00516A8F" w:rsidP="00516A8F">
      <w:pPr>
        <w:tabs>
          <w:tab w:val="left" w:leader="underscore" w:pos="9639"/>
        </w:tabs>
        <w:spacing w:after="0" w:line="240" w:lineRule="auto"/>
        <w:jc w:val="both"/>
        <w:rPr>
          <w:rFonts w:cs="Calibri"/>
        </w:rPr>
      </w:pPr>
    </w:p>
    <w:p w14:paraId="5A494C73" w14:textId="7B672A6D" w:rsidR="00BE02EB" w:rsidRDefault="00BE02EB" w:rsidP="000C3365">
      <w:pPr>
        <w:pStyle w:val="Ttulo2"/>
        <w:rPr>
          <w:rFonts w:asciiTheme="minorHAnsi" w:hAnsiTheme="minorHAnsi" w:cstheme="minorHAnsi"/>
          <w:b/>
          <w:color w:val="auto"/>
          <w:sz w:val="22"/>
        </w:rPr>
      </w:pPr>
      <w:bookmarkStart w:id="1" w:name="_Toc161472867"/>
      <w:r>
        <w:rPr>
          <w:rFonts w:asciiTheme="minorHAnsi" w:hAnsiTheme="minorHAnsi" w:cstheme="minorHAnsi"/>
          <w:b/>
          <w:color w:val="auto"/>
          <w:sz w:val="22"/>
        </w:rPr>
        <w:lastRenderedPageBreak/>
        <w:t xml:space="preserve">2. </w:t>
      </w:r>
      <w:r w:rsidR="00B6368B" w:rsidRPr="00B6368B">
        <w:rPr>
          <w:rFonts w:asciiTheme="minorHAnsi" w:hAnsiTheme="minorHAnsi" w:cstheme="minorHAnsi"/>
          <w:b/>
          <w:color w:val="auto"/>
          <w:sz w:val="22"/>
        </w:rPr>
        <w:t>Panorama Económico y Financiero</w:t>
      </w:r>
      <w:bookmarkEnd w:id="1"/>
    </w:p>
    <w:p w14:paraId="548FE5C0" w14:textId="3C95EB09" w:rsidR="00516A8F" w:rsidRDefault="0012493A" w:rsidP="00516A8F">
      <w:pPr>
        <w:tabs>
          <w:tab w:val="left" w:leader="underscore" w:pos="9639"/>
        </w:tabs>
        <w:spacing w:after="0" w:line="240" w:lineRule="auto"/>
        <w:jc w:val="both"/>
        <w:rPr>
          <w:rFonts w:cs="Calibri"/>
        </w:rPr>
      </w:pPr>
      <w:r w:rsidRPr="0012493A">
        <w:rPr>
          <w:rFonts w:cs="Calibri"/>
        </w:rPr>
        <w:t>Se informará sobre las principales condiciones económico-financieras bajo las cuales el ente público estuvo operando; y las cuales influyeron en la toma de decisiones de la administración; tanto a nivel local como federal.</w:t>
      </w:r>
    </w:p>
    <w:p w14:paraId="2EE8DD6F" w14:textId="54F9D0B0" w:rsidR="00B30FC3" w:rsidRDefault="00B30FC3" w:rsidP="00B30FC3">
      <w:pPr>
        <w:tabs>
          <w:tab w:val="left" w:leader="underscore" w:pos="9639"/>
        </w:tabs>
        <w:spacing w:after="0" w:line="240" w:lineRule="auto"/>
        <w:jc w:val="both"/>
        <w:rPr>
          <w:rFonts w:cs="Calibri"/>
        </w:rPr>
      </w:pPr>
    </w:p>
    <w:p w14:paraId="1D21F93D" w14:textId="77777777" w:rsidR="00CA52D8" w:rsidRPr="00CA52D8" w:rsidRDefault="00CA52D8" w:rsidP="00CA52D8">
      <w:pPr>
        <w:tabs>
          <w:tab w:val="left" w:leader="underscore" w:pos="9639"/>
        </w:tabs>
        <w:spacing w:after="0" w:line="240" w:lineRule="auto"/>
        <w:jc w:val="both"/>
        <w:rPr>
          <w:rFonts w:cs="Calibri"/>
        </w:rPr>
      </w:pPr>
      <w:r w:rsidRPr="00CA52D8">
        <w:rPr>
          <w:rFonts w:cs="Calibri"/>
        </w:rPr>
        <w:t>Exposición General de Motivos</w:t>
      </w:r>
    </w:p>
    <w:p w14:paraId="3B63575A" w14:textId="77777777" w:rsidR="00CA52D8" w:rsidRPr="00CA52D8" w:rsidRDefault="00CA52D8" w:rsidP="00CA52D8">
      <w:pPr>
        <w:tabs>
          <w:tab w:val="left" w:leader="underscore" w:pos="9639"/>
        </w:tabs>
        <w:spacing w:after="0" w:line="240" w:lineRule="auto"/>
        <w:jc w:val="both"/>
        <w:rPr>
          <w:rFonts w:cs="Calibri"/>
        </w:rPr>
      </w:pPr>
    </w:p>
    <w:p w14:paraId="6D1AE864" w14:textId="77777777" w:rsidR="00CA52D8" w:rsidRPr="00CA52D8" w:rsidRDefault="00CA52D8" w:rsidP="00CA52D8">
      <w:pPr>
        <w:tabs>
          <w:tab w:val="left" w:leader="underscore" w:pos="9639"/>
        </w:tabs>
        <w:spacing w:after="0" w:line="240" w:lineRule="auto"/>
        <w:jc w:val="both"/>
        <w:rPr>
          <w:rFonts w:cs="Calibri"/>
        </w:rPr>
      </w:pPr>
      <w:r w:rsidRPr="00CA52D8">
        <w:rPr>
          <w:rFonts w:cs="Calibri"/>
        </w:rPr>
        <w:t>Para cubrir las demandas de servicios de los ciudadanos en cuanto al suministro de agua potable, alcantarillado y tratamiento, SMAPAM debe  tener en funcionamiento una infraestructura hidráulica y sanitaria compuesta por  fuentes de abastecimiento y redes de conducción y distribución con una gasto económico significativo de recursos humanos y materiales, así como los cargos de energía eléctrica usada primordialmente en las actividades de operación para la extracción, siendo necesario mantener anualmente un desarrollo en las tarifas que nos permita lograr los niveles de recaudación que garanticen el gasto corriente y el gasto de inversión que el organismo necesita para seguir atendiendo en forma eficiente a la población del municipio.</w:t>
      </w:r>
    </w:p>
    <w:p w14:paraId="3C523638" w14:textId="77777777" w:rsidR="00CA52D8" w:rsidRPr="00CA52D8" w:rsidRDefault="00CA52D8" w:rsidP="00CA52D8">
      <w:pPr>
        <w:tabs>
          <w:tab w:val="left" w:leader="underscore" w:pos="9639"/>
        </w:tabs>
        <w:spacing w:after="0" w:line="240" w:lineRule="auto"/>
        <w:jc w:val="both"/>
        <w:rPr>
          <w:rFonts w:cs="Calibri"/>
        </w:rPr>
      </w:pPr>
      <w:r w:rsidRPr="00CA52D8">
        <w:rPr>
          <w:rFonts w:cs="Calibri"/>
        </w:rPr>
        <w:t>Los incrementos en los precios directos durante el último año nos representan un total del 8.27%, conforme al cálculo realizado mediante el uso de la metodología de impactos ponderados y que estos incrementos son reales y no son sustituibles debido a que los insumos a que se refieren son la parte medular de nuestro sistema operativo.</w:t>
      </w:r>
    </w:p>
    <w:p w14:paraId="38F6DFC8" w14:textId="77777777" w:rsidR="00CA52D8" w:rsidRPr="00CA52D8" w:rsidRDefault="00CA52D8" w:rsidP="00CA52D8">
      <w:pPr>
        <w:tabs>
          <w:tab w:val="left" w:leader="underscore" w:pos="9639"/>
        </w:tabs>
        <w:spacing w:after="0" w:line="240" w:lineRule="auto"/>
        <w:jc w:val="both"/>
        <w:rPr>
          <w:rFonts w:cs="Calibri"/>
        </w:rPr>
      </w:pPr>
      <w:r w:rsidRPr="00CA52D8">
        <w:rPr>
          <w:rFonts w:cs="Calibri"/>
        </w:rPr>
        <w:t>Los efectos reales de incremento a precios por servicios e insumos que se realizan en la operación de la infraestructura no forman parte de los elementos que integran la canasta básica y por ello es por lo que nos enfrentamos a un impacto inflacionario mayor al INPC.</w:t>
      </w:r>
    </w:p>
    <w:p w14:paraId="71F3C289" w14:textId="77777777" w:rsidR="00CA52D8" w:rsidRPr="00CA52D8" w:rsidRDefault="00CA52D8" w:rsidP="00CA52D8">
      <w:pPr>
        <w:tabs>
          <w:tab w:val="left" w:leader="underscore" w:pos="9639"/>
        </w:tabs>
        <w:spacing w:after="0" w:line="240" w:lineRule="auto"/>
        <w:jc w:val="both"/>
        <w:rPr>
          <w:rFonts w:cs="Calibri"/>
        </w:rPr>
      </w:pPr>
      <w:r w:rsidRPr="00CA52D8">
        <w:rPr>
          <w:rFonts w:cs="Calibri"/>
        </w:rPr>
        <w:t>Dicha aseveración queda probada mediante el cálculo presentado en el que se observan los impactos reales de un ejercicio fiscal, hecho que debe tomarse en cuenta porque es justamente el periodo en que se realizan los trabajos de elaboración de propuestas y para efecto de cálculo debe tomarse el referente de un año completo.</w:t>
      </w:r>
    </w:p>
    <w:p w14:paraId="2F7AFB88" w14:textId="77777777" w:rsidR="00CA52D8" w:rsidRPr="00CA52D8" w:rsidRDefault="00CA52D8" w:rsidP="00CA52D8">
      <w:pPr>
        <w:tabs>
          <w:tab w:val="left" w:leader="underscore" w:pos="9639"/>
        </w:tabs>
        <w:spacing w:after="0" w:line="240" w:lineRule="auto"/>
        <w:jc w:val="both"/>
        <w:rPr>
          <w:rFonts w:cs="Calibri"/>
        </w:rPr>
      </w:pPr>
      <w:r w:rsidRPr="00CA52D8">
        <w:rPr>
          <w:rFonts w:cs="Calibri"/>
        </w:rPr>
        <w:t>En esa proporción se han afectado los insumos que requerimos dentro de nuestros procesos administrativos y comerciales y que además los costos operativos y de materiales para propósitos de mantenimiento y operación han tenido un impacto mayor a de la inflación anual dado que se trata de materiales a base de aceros, metales y componentes que no están de ninguna manera considerados dentro de la canasta básica, como tampoco lo están combustibles, lubricantes y equipo de bombeo, así como piezas de fierro fundido y materiales especiales entre otros que son de uso común para nosotros, los cuales han tenido incrementos superiores al INPC.</w:t>
      </w:r>
    </w:p>
    <w:p w14:paraId="1C104A54" w14:textId="77777777" w:rsidR="00CA52D8" w:rsidRPr="00CA52D8" w:rsidRDefault="00CA52D8" w:rsidP="00CA52D8">
      <w:pPr>
        <w:tabs>
          <w:tab w:val="left" w:leader="underscore" w:pos="9639"/>
        </w:tabs>
        <w:spacing w:after="0" w:line="240" w:lineRule="auto"/>
        <w:jc w:val="both"/>
        <w:rPr>
          <w:rFonts w:cs="Calibri"/>
        </w:rPr>
      </w:pPr>
      <w:r w:rsidRPr="00CA52D8">
        <w:rPr>
          <w:rFonts w:cs="Calibri"/>
        </w:rPr>
        <w:t>Tratando de continuar dando un servicio de calidad para los ciudadanos de Moroleón, es intención de este organismo operador no generar incrementos considerables, aun cuando las condiciones económicas de operación los justifican.</w:t>
      </w:r>
    </w:p>
    <w:p w14:paraId="38003BA7" w14:textId="77777777" w:rsidR="00CA52D8" w:rsidRPr="00CA52D8" w:rsidRDefault="00CA52D8" w:rsidP="00CA52D8">
      <w:pPr>
        <w:tabs>
          <w:tab w:val="left" w:leader="underscore" w:pos="9639"/>
        </w:tabs>
        <w:spacing w:after="0" w:line="240" w:lineRule="auto"/>
        <w:jc w:val="both"/>
        <w:rPr>
          <w:rFonts w:cs="Calibri"/>
        </w:rPr>
      </w:pPr>
      <w:r w:rsidRPr="00CA52D8">
        <w:rPr>
          <w:rFonts w:cs="Calibri"/>
        </w:rPr>
        <w:t>La operación de los servicios para atender los requerimientos de la población en el año 2024 demandará un fuerte gasto económico por lo que estaremos haciendo esfuerzos adicionales para mejorar eficiencias, reducir gastos y lograr mejorar los niveles de calidad en los servicios, todo ello con el propósito de no generar un impacto mayor en las tarifas.</w:t>
      </w:r>
    </w:p>
    <w:p w14:paraId="7BFD45EA" w14:textId="77777777" w:rsidR="00CA52D8" w:rsidRPr="00CA52D8" w:rsidRDefault="00CA52D8" w:rsidP="00CA52D8">
      <w:pPr>
        <w:tabs>
          <w:tab w:val="left" w:leader="underscore" w:pos="9639"/>
        </w:tabs>
        <w:spacing w:after="0" w:line="240" w:lineRule="auto"/>
        <w:jc w:val="both"/>
        <w:rPr>
          <w:rFonts w:cs="Calibri"/>
        </w:rPr>
      </w:pPr>
      <w:r w:rsidRPr="00CA52D8">
        <w:rPr>
          <w:rFonts w:cs="Calibri"/>
        </w:rPr>
        <w:t>Para el servicio medido doméstico se propone un incremento del 4.0% a la cuota base con incrementos en los costos variables por la aplicación de la indexación bimestral del 0.8%.</w:t>
      </w:r>
    </w:p>
    <w:p w14:paraId="3E701074" w14:textId="77777777" w:rsidR="00CA52D8" w:rsidRPr="00CA52D8" w:rsidRDefault="00CA52D8" w:rsidP="00CA52D8">
      <w:pPr>
        <w:tabs>
          <w:tab w:val="left" w:leader="underscore" w:pos="9639"/>
        </w:tabs>
        <w:spacing w:after="0" w:line="240" w:lineRule="auto"/>
        <w:jc w:val="both"/>
        <w:rPr>
          <w:rFonts w:cs="Calibri"/>
        </w:rPr>
      </w:pPr>
      <w:r w:rsidRPr="00CA52D8">
        <w:rPr>
          <w:rFonts w:cs="Calibri"/>
        </w:rPr>
        <w:t>Para los usuarios comerciales e industriales los incrementos se dan en la misma proporción arrancando con una cuota base al 4% y los consumos con un incremento gradual ascendente generado por la aplicación de la indexación del 0.8% bimestral a partir de marzo del 2024.</w:t>
      </w:r>
    </w:p>
    <w:p w14:paraId="6C340216" w14:textId="77777777" w:rsidR="00CA52D8" w:rsidRPr="00CA52D8" w:rsidRDefault="00CA52D8" w:rsidP="00CA52D8">
      <w:pPr>
        <w:tabs>
          <w:tab w:val="left" w:leader="underscore" w:pos="9639"/>
        </w:tabs>
        <w:spacing w:after="0" w:line="240" w:lineRule="auto"/>
        <w:jc w:val="both"/>
        <w:rPr>
          <w:rFonts w:cs="Calibri"/>
        </w:rPr>
      </w:pPr>
      <w:r w:rsidRPr="00CA52D8">
        <w:rPr>
          <w:rFonts w:cs="Calibri"/>
        </w:rPr>
        <w:t>Para los servicios industriales, mixtos y públicos aplica el mismo ajuste del 4% y una indexación del 0.8% al bimestre.</w:t>
      </w:r>
    </w:p>
    <w:p w14:paraId="2240FEEE" w14:textId="77777777" w:rsidR="00CA52D8" w:rsidRPr="00CA52D8" w:rsidRDefault="00CA52D8" w:rsidP="00CA52D8">
      <w:pPr>
        <w:tabs>
          <w:tab w:val="left" w:leader="underscore" w:pos="9639"/>
        </w:tabs>
        <w:spacing w:after="0" w:line="240" w:lineRule="auto"/>
        <w:jc w:val="both"/>
        <w:rPr>
          <w:rFonts w:cs="Calibri"/>
        </w:rPr>
      </w:pPr>
      <w:r w:rsidRPr="00CA52D8">
        <w:rPr>
          <w:rFonts w:cs="Calibri"/>
        </w:rPr>
        <w:lastRenderedPageBreak/>
        <w:t xml:space="preserve">Para las tablas que contienen las tarifas para la comunidad de </w:t>
      </w:r>
      <w:proofErr w:type="spellStart"/>
      <w:r w:rsidRPr="00CA52D8">
        <w:rPr>
          <w:rFonts w:cs="Calibri"/>
        </w:rPr>
        <w:t>Cepio</w:t>
      </w:r>
      <w:proofErr w:type="spellEnd"/>
      <w:r w:rsidRPr="00CA52D8">
        <w:rPr>
          <w:rFonts w:cs="Calibri"/>
        </w:rPr>
        <w:t>, se proponen incrementos del 4% e indexación del 0.8% bimestral.</w:t>
      </w:r>
    </w:p>
    <w:p w14:paraId="3280AA88" w14:textId="77777777" w:rsidR="00CA52D8" w:rsidRPr="00CA52D8" w:rsidRDefault="00CA52D8" w:rsidP="00CA52D8">
      <w:pPr>
        <w:tabs>
          <w:tab w:val="left" w:leader="underscore" w:pos="9639"/>
        </w:tabs>
        <w:spacing w:after="0" w:line="240" w:lineRule="auto"/>
        <w:jc w:val="both"/>
        <w:rPr>
          <w:rFonts w:cs="Calibri"/>
        </w:rPr>
      </w:pPr>
      <w:r w:rsidRPr="00CA52D8">
        <w:rPr>
          <w:rFonts w:cs="Calibri"/>
        </w:rPr>
        <w:t>Para las tablas de todos los giros se proponen que se apliquen hasta los 100 metros cúbicos y no al 200 como se tiene actualmente.</w:t>
      </w:r>
    </w:p>
    <w:p w14:paraId="0D1AF47B" w14:textId="77777777" w:rsidR="00CA52D8" w:rsidRPr="00CA52D8" w:rsidRDefault="00CA52D8" w:rsidP="00CA52D8">
      <w:pPr>
        <w:tabs>
          <w:tab w:val="left" w:leader="underscore" w:pos="9639"/>
        </w:tabs>
        <w:spacing w:after="0" w:line="240" w:lineRule="auto"/>
        <w:jc w:val="both"/>
        <w:rPr>
          <w:rFonts w:cs="Calibri"/>
        </w:rPr>
      </w:pPr>
      <w:r w:rsidRPr="00CA52D8">
        <w:rPr>
          <w:rFonts w:cs="Calibri"/>
        </w:rPr>
        <w:t>El número de usuarios que consumen más de 100 metros cúbicos es realmente simbólico.</w:t>
      </w:r>
    </w:p>
    <w:p w14:paraId="5E21DAB0" w14:textId="77777777" w:rsidR="00CA52D8" w:rsidRPr="00CA52D8" w:rsidRDefault="00CA52D8" w:rsidP="00CA52D8">
      <w:pPr>
        <w:tabs>
          <w:tab w:val="left" w:leader="underscore" w:pos="9639"/>
        </w:tabs>
        <w:spacing w:after="0" w:line="240" w:lineRule="auto"/>
        <w:jc w:val="both"/>
        <w:rPr>
          <w:rFonts w:cs="Calibri"/>
        </w:rPr>
      </w:pPr>
      <w:r w:rsidRPr="00CA52D8">
        <w:rPr>
          <w:rFonts w:cs="Calibri"/>
        </w:rPr>
        <w:t>En lo domestico son solamente 136 usuarios, en mixta 34, en comercial 49 y en industrial 18.</w:t>
      </w:r>
    </w:p>
    <w:p w14:paraId="53CF8121" w14:textId="77777777" w:rsidR="00CA52D8" w:rsidRPr="00CA52D8" w:rsidRDefault="00CA52D8" w:rsidP="00CA52D8">
      <w:pPr>
        <w:tabs>
          <w:tab w:val="left" w:leader="underscore" w:pos="9639"/>
        </w:tabs>
        <w:spacing w:after="0" w:line="240" w:lineRule="auto"/>
        <w:jc w:val="both"/>
        <w:rPr>
          <w:rFonts w:cs="Calibri"/>
        </w:rPr>
      </w:pPr>
      <w:r w:rsidRPr="00CA52D8">
        <w:rPr>
          <w:rFonts w:cs="Calibri"/>
        </w:rPr>
        <w:t>En cuanto a servicio de agua potable a cuotas fijas se propone o aplicar incrementos solo del 3% e indexación del 0.8%.</w:t>
      </w:r>
    </w:p>
    <w:p w14:paraId="5A99BE1B" w14:textId="77777777" w:rsidR="00CA52D8" w:rsidRPr="00CA52D8" w:rsidRDefault="00CA52D8" w:rsidP="00CA52D8">
      <w:pPr>
        <w:tabs>
          <w:tab w:val="left" w:leader="underscore" w:pos="9639"/>
        </w:tabs>
        <w:spacing w:after="0" w:line="240" w:lineRule="auto"/>
        <w:jc w:val="both"/>
        <w:rPr>
          <w:rFonts w:cs="Calibri"/>
        </w:rPr>
      </w:pPr>
      <w:r w:rsidRPr="00CA52D8">
        <w:rPr>
          <w:rFonts w:cs="Calibri"/>
        </w:rPr>
        <w:t>Para la fracción II de tarifas fijas se proponen incrementos del 3% e indexación del 0.8% bimestral</w:t>
      </w:r>
    </w:p>
    <w:p w14:paraId="571EF9F5" w14:textId="77777777" w:rsidR="00CA52D8" w:rsidRPr="00CA52D8" w:rsidRDefault="00CA52D8" w:rsidP="00CA52D8">
      <w:pPr>
        <w:tabs>
          <w:tab w:val="left" w:leader="underscore" w:pos="9639"/>
        </w:tabs>
        <w:spacing w:after="0" w:line="240" w:lineRule="auto"/>
        <w:jc w:val="both"/>
        <w:rPr>
          <w:rFonts w:cs="Calibri"/>
        </w:rPr>
      </w:pPr>
      <w:r w:rsidRPr="00CA52D8">
        <w:rPr>
          <w:rFonts w:cs="Calibri"/>
        </w:rPr>
        <w:t>En la fracción III, relativa al servicio de alcantarillado se propone mantener para 2024 la tasa vigente del 20% y en la IV para tratamiento modificarla del 18% al del 20%.</w:t>
      </w:r>
    </w:p>
    <w:p w14:paraId="0EC7DC96" w14:textId="66782153" w:rsidR="00CA52D8" w:rsidRDefault="00CA52D8" w:rsidP="00CA52D8">
      <w:pPr>
        <w:tabs>
          <w:tab w:val="left" w:leader="underscore" w:pos="9639"/>
        </w:tabs>
        <w:spacing w:after="0" w:line="240" w:lineRule="auto"/>
        <w:jc w:val="both"/>
        <w:rPr>
          <w:rFonts w:cs="Calibri"/>
        </w:rPr>
      </w:pPr>
      <w:r w:rsidRPr="00CA52D8">
        <w:rPr>
          <w:rFonts w:cs="Calibri"/>
        </w:rPr>
        <w:t>Por lo que respecta al tratamiento de agua residual se propone incrementar la tasa del 18% vigente a un 20% para el año 2024. Los costos de operación de la planta no son cubiertos suficientemente con la tasa actual.</w:t>
      </w:r>
    </w:p>
    <w:p w14:paraId="0410F752" w14:textId="77777777" w:rsidR="00CA52D8" w:rsidRPr="00CA52D8" w:rsidRDefault="00CA52D8" w:rsidP="00CA52D8">
      <w:pPr>
        <w:tabs>
          <w:tab w:val="left" w:leader="underscore" w:pos="9639"/>
        </w:tabs>
        <w:spacing w:after="0" w:line="240" w:lineRule="auto"/>
        <w:jc w:val="both"/>
        <w:rPr>
          <w:rFonts w:cs="Calibri"/>
        </w:rPr>
      </w:pPr>
      <w:r w:rsidRPr="00CA52D8">
        <w:rPr>
          <w:rFonts w:cs="Calibri"/>
        </w:rPr>
        <w:t>Actualmente para cumplir con el tratamiento se tienen que asignar recursos de otras partidas presupuestales lo cual a su vez genera insuficiencia en las actividades a donde corresponden las partidas disminuidas.</w:t>
      </w:r>
    </w:p>
    <w:p w14:paraId="19ECA995" w14:textId="77777777" w:rsidR="00CA52D8" w:rsidRPr="00CA52D8" w:rsidRDefault="00CA52D8" w:rsidP="00CA52D8">
      <w:pPr>
        <w:tabs>
          <w:tab w:val="left" w:leader="underscore" w:pos="9639"/>
        </w:tabs>
        <w:spacing w:after="0" w:line="240" w:lineRule="auto"/>
        <w:jc w:val="both"/>
        <w:rPr>
          <w:rFonts w:cs="Calibri"/>
        </w:rPr>
      </w:pPr>
      <w:r w:rsidRPr="00CA52D8">
        <w:rPr>
          <w:rFonts w:cs="Calibri"/>
        </w:rPr>
        <w:t>Dentro de la misma fracción IV, los conceptos que tienen precio se incrementan en un 4%.</w:t>
      </w:r>
    </w:p>
    <w:p w14:paraId="273273BA" w14:textId="77777777" w:rsidR="00CA52D8" w:rsidRPr="00CA52D8" w:rsidRDefault="00CA52D8" w:rsidP="00CA52D8">
      <w:pPr>
        <w:tabs>
          <w:tab w:val="left" w:leader="underscore" w:pos="9639"/>
        </w:tabs>
        <w:spacing w:after="0" w:line="240" w:lineRule="auto"/>
        <w:jc w:val="both"/>
        <w:rPr>
          <w:rFonts w:cs="Calibri"/>
        </w:rPr>
      </w:pPr>
      <w:r w:rsidRPr="00CA52D8">
        <w:rPr>
          <w:rFonts w:cs="Calibri"/>
        </w:rPr>
        <w:t>Para contratos, instalación de ramal, caja de medición, medidores, descarga de agua residual, servicios administrativos y operativos, todos estos conceptos contenidos en las fracciones V, VI, VII, VIII, IX, X, XI, se propone incrementarlos en un 4%.</w:t>
      </w:r>
    </w:p>
    <w:p w14:paraId="558E5BB2" w14:textId="77777777" w:rsidR="00CA52D8" w:rsidRPr="00CA52D8" w:rsidRDefault="00CA52D8" w:rsidP="00CA52D8">
      <w:pPr>
        <w:tabs>
          <w:tab w:val="left" w:leader="underscore" w:pos="9639"/>
        </w:tabs>
        <w:spacing w:after="0" w:line="240" w:lineRule="auto"/>
        <w:jc w:val="both"/>
        <w:rPr>
          <w:rFonts w:cs="Calibri"/>
        </w:rPr>
      </w:pPr>
      <w:r w:rsidRPr="00CA52D8">
        <w:rPr>
          <w:rFonts w:cs="Calibri"/>
        </w:rPr>
        <w:t>En cuanto a la fracción XII relativa a la Incorporación a la red hidráulica y sanitaria para fraccionamientos habitacionales, se modifica la tabla de cobro por tipo de vivienda para que esto responda a una relación directa entre las demandas de agua potable de acuerdo con sus dimensiones y el pago que por esos derechos debe realizarse.</w:t>
      </w:r>
    </w:p>
    <w:p w14:paraId="51608D2F" w14:textId="77777777" w:rsidR="00CA52D8" w:rsidRPr="00CA52D8" w:rsidRDefault="00CA52D8" w:rsidP="00CA52D8">
      <w:pPr>
        <w:tabs>
          <w:tab w:val="left" w:leader="underscore" w:pos="9639"/>
        </w:tabs>
        <w:spacing w:after="0" w:line="240" w:lineRule="auto"/>
        <w:jc w:val="both"/>
        <w:rPr>
          <w:rFonts w:cs="Calibri"/>
        </w:rPr>
      </w:pPr>
      <w:r w:rsidRPr="00CA52D8">
        <w:rPr>
          <w:rFonts w:cs="Calibri"/>
        </w:rPr>
        <w:t>Indica el artículo 333 del Código Territorial para el Estado y los Municipios de Guanajuato que debe cobrarse la dotación de agua por el costo marginal de la incorporación de nuevos volúmenes de agua para que se garanticen las inversiones para las fuentes de abastecimiento y en el mismo sentido se expresa respecto al alcantarillado y el tratamiento.</w:t>
      </w:r>
    </w:p>
    <w:p w14:paraId="001535E5" w14:textId="77777777" w:rsidR="00CA52D8" w:rsidRPr="00CA52D8" w:rsidRDefault="00CA52D8" w:rsidP="00CA52D8">
      <w:pPr>
        <w:tabs>
          <w:tab w:val="left" w:leader="underscore" w:pos="9639"/>
        </w:tabs>
        <w:spacing w:after="0" w:line="240" w:lineRule="auto"/>
        <w:jc w:val="both"/>
        <w:rPr>
          <w:rFonts w:cs="Calibri"/>
        </w:rPr>
      </w:pPr>
      <w:r w:rsidRPr="00CA52D8">
        <w:rPr>
          <w:rFonts w:cs="Calibri"/>
        </w:rPr>
        <w:t>Para cumplir con lo expuesto por el Código territorial se hace necesario ajustar los precios de litro por segundo para agua potable, Alcantarillado y tratamiento y, a consecuencia de ello, los precios a pagar por cada tipo de vivienda.</w:t>
      </w:r>
    </w:p>
    <w:p w14:paraId="48C1424C" w14:textId="77777777" w:rsidR="00CA52D8" w:rsidRPr="00CA52D8" w:rsidRDefault="00CA52D8" w:rsidP="00CA52D8">
      <w:pPr>
        <w:tabs>
          <w:tab w:val="left" w:leader="underscore" w:pos="9639"/>
        </w:tabs>
        <w:spacing w:after="0" w:line="240" w:lineRule="auto"/>
        <w:jc w:val="both"/>
        <w:rPr>
          <w:rFonts w:cs="Calibri"/>
        </w:rPr>
      </w:pPr>
      <w:r w:rsidRPr="00CA52D8">
        <w:rPr>
          <w:rFonts w:cs="Calibri"/>
        </w:rPr>
        <w:t>Como resultado del análisis de precios unitarios realizado, el cual se adjunta, llegamos al costo que debe aplicar y tomamos en cuenta tanto la dotación por tipo de vivienda como el hacinamiento generado por el censo de población 2020 realizado por el INEGI y llegamos a los precios por tipo de vivienda que se proponen en el documento del proyecto.</w:t>
      </w:r>
    </w:p>
    <w:p w14:paraId="3919289D" w14:textId="77777777" w:rsidR="00CA52D8" w:rsidRPr="00CA52D8" w:rsidRDefault="00CA52D8" w:rsidP="00CA52D8">
      <w:pPr>
        <w:tabs>
          <w:tab w:val="left" w:leader="underscore" w:pos="9639"/>
        </w:tabs>
        <w:spacing w:after="0" w:line="240" w:lineRule="auto"/>
        <w:jc w:val="both"/>
        <w:rPr>
          <w:rFonts w:cs="Calibri"/>
        </w:rPr>
      </w:pPr>
      <w:r w:rsidRPr="00CA52D8">
        <w:rPr>
          <w:rFonts w:cs="Calibri"/>
        </w:rPr>
        <w:t>De la ley vigente de la fracción b) se elimina el texto que hace referencia al cobro de títulos de explotación porque la componente de títulos va incluida en el costo del litro por segundo sobre la cual se fijaron los precios por tipo de vivienda.</w:t>
      </w:r>
    </w:p>
    <w:p w14:paraId="29A35C93" w14:textId="1537EFB2" w:rsidR="00CA52D8" w:rsidRDefault="00CA52D8" w:rsidP="00CA52D8">
      <w:pPr>
        <w:tabs>
          <w:tab w:val="left" w:leader="underscore" w:pos="9639"/>
        </w:tabs>
        <w:spacing w:after="0" w:line="240" w:lineRule="auto"/>
        <w:jc w:val="both"/>
        <w:rPr>
          <w:rFonts w:cs="Calibri"/>
        </w:rPr>
      </w:pPr>
      <w:r w:rsidRPr="00CA52D8">
        <w:rPr>
          <w:rFonts w:cs="Calibri"/>
        </w:rPr>
        <w:t>Se adiciona el inciso h) para que se bonifique el cobro por derechos de tratamiento cuando el fraccionador entregue la planta que cubra suficientemente la depuración de sus aguas residuales.</w:t>
      </w:r>
    </w:p>
    <w:p w14:paraId="3251FAD4" w14:textId="77777777" w:rsidR="00CA52D8" w:rsidRPr="00CA52D8" w:rsidRDefault="00CA52D8" w:rsidP="00CA52D8">
      <w:pPr>
        <w:tabs>
          <w:tab w:val="left" w:leader="underscore" w:pos="9639"/>
        </w:tabs>
        <w:spacing w:after="0" w:line="240" w:lineRule="auto"/>
        <w:jc w:val="both"/>
        <w:rPr>
          <w:rFonts w:cs="Calibri"/>
        </w:rPr>
      </w:pPr>
      <w:r w:rsidRPr="00CA52D8">
        <w:rPr>
          <w:rFonts w:cs="Calibri"/>
        </w:rPr>
        <w:t>En la fracción XIII de Servicios operativos y administrativos para desarrollos inmobiliarios de todos los giros se proponen incrementos del 4%.</w:t>
      </w:r>
    </w:p>
    <w:p w14:paraId="248A787A" w14:textId="77777777" w:rsidR="00CA52D8" w:rsidRPr="00CA52D8" w:rsidRDefault="00CA52D8" w:rsidP="00CA52D8">
      <w:pPr>
        <w:tabs>
          <w:tab w:val="left" w:leader="underscore" w:pos="9639"/>
        </w:tabs>
        <w:spacing w:after="0" w:line="240" w:lineRule="auto"/>
        <w:jc w:val="both"/>
        <w:rPr>
          <w:rFonts w:cs="Calibri"/>
        </w:rPr>
      </w:pPr>
      <w:r w:rsidRPr="00CA52D8">
        <w:rPr>
          <w:rFonts w:cs="Calibri"/>
        </w:rPr>
        <w:t>Para el cobro por derechos de Incorporaciones no habitacionales de la fracción XIV se modifican los importes del litro por segundo de agua potable, drenaje y tratamiento y se presentan por separado los análisis de precios unitarios correspondientes. Los importes corresponden a los costos marginales en los términos que establece el artículo 333 del Código Territorial.</w:t>
      </w:r>
    </w:p>
    <w:p w14:paraId="07514D7C" w14:textId="77777777" w:rsidR="00CA52D8" w:rsidRPr="00CA52D8" w:rsidRDefault="00CA52D8" w:rsidP="00CA52D8">
      <w:pPr>
        <w:tabs>
          <w:tab w:val="left" w:leader="underscore" w:pos="9639"/>
        </w:tabs>
        <w:spacing w:after="0" w:line="240" w:lineRule="auto"/>
        <w:jc w:val="both"/>
        <w:rPr>
          <w:rFonts w:cs="Calibri"/>
        </w:rPr>
      </w:pPr>
      <w:r w:rsidRPr="00CA52D8">
        <w:rPr>
          <w:rFonts w:cs="Calibri"/>
        </w:rPr>
        <w:lastRenderedPageBreak/>
        <w:t>En esa misma fracción se elimina el inciso c) de la vigente porque ya no aplica ese cobro bajo esta mecánica y se adiciona en su lugar el costo del litro por segundo de tratamiento respaldado por el análisis de precios unitarios correspondiente.</w:t>
      </w:r>
    </w:p>
    <w:p w14:paraId="5243FEB2" w14:textId="77777777" w:rsidR="00CA52D8" w:rsidRPr="00CA52D8" w:rsidRDefault="00CA52D8" w:rsidP="00CA52D8">
      <w:pPr>
        <w:tabs>
          <w:tab w:val="left" w:leader="underscore" w:pos="9639"/>
        </w:tabs>
        <w:spacing w:after="0" w:line="240" w:lineRule="auto"/>
        <w:jc w:val="both"/>
        <w:rPr>
          <w:rFonts w:cs="Calibri"/>
        </w:rPr>
      </w:pPr>
      <w:r w:rsidRPr="00CA52D8">
        <w:rPr>
          <w:rFonts w:cs="Calibri"/>
        </w:rPr>
        <w:t>Las fracciones para incorporación individual, venta de agua tratada y descarga de contaminantes de las fracciones XI, XVI y XVII respectivamente, se incrementan un 4% y mantienen su estructura y mecánica de cobro.</w:t>
      </w:r>
    </w:p>
    <w:p w14:paraId="22FA7A85" w14:textId="77777777" w:rsidR="00CA52D8" w:rsidRPr="00CA52D8" w:rsidRDefault="00CA52D8" w:rsidP="00CA52D8">
      <w:pPr>
        <w:tabs>
          <w:tab w:val="left" w:leader="underscore" w:pos="9639"/>
        </w:tabs>
        <w:spacing w:after="0" w:line="240" w:lineRule="auto"/>
        <w:jc w:val="both"/>
        <w:rPr>
          <w:rFonts w:cs="Calibri"/>
        </w:rPr>
      </w:pPr>
      <w:r w:rsidRPr="00CA52D8">
        <w:rPr>
          <w:rFonts w:cs="Calibri"/>
        </w:rPr>
        <w:t xml:space="preserve">En el Artículo 42 relativo a facilidades administrativas se mantienen los beneficios contenidos en la Ley vigente. </w:t>
      </w:r>
    </w:p>
    <w:p w14:paraId="7E3B0060" w14:textId="77777777" w:rsidR="00CA52D8" w:rsidRPr="00CA52D8" w:rsidRDefault="00CA52D8" w:rsidP="00CA52D8">
      <w:pPr>
        <w:tabs>
          <w:tab w:val="left" w:leader="underscore" w:pos="9639"/>
        </w:tabs>
        <w:spacing w:after="0" w:line="240" w:lineRule="auto"/>
        <w:jc w:val="both"/>
        <w:rPr>
          <w:rFonts w:cs="Calibri"/>
        </w:rPr>
      </w:pPr>
    </w:p>
    <w:p w14:paraId="0F29F0D1" w14:textId="388A6EB1" w:rsidR="00CA52D8" w:rsidRDefault="00CA52D8" w:rsidP="00CA52D8">
      <w:pPr>
        <w:tabs>
          <w:tab w:val="left" w:leader="underscore" w:pos="9639"/>
        </w:tabs>
        <w:spacing w:after="0" w:line="240" w:lineRule="auto"/>
        <w:jc w:val="both"/>
        <w:rPr>
          <w:rFonts w:cs="Calibri"/>
        </w:rPr>
      </w:pPr>
      <w:r w:rsidRPr="00CA52D8">
        <w:rPr>
          <w:rFonts w:cs="Calibri"/>
        </w:rPr>
        <w:t>Por todo lo anteriormente expuesto y basados en el cálculo de precios, es que ponemos a consideración del H. Ayuntamiento, nuestra propuesta para el ejercicio fiscal 2024, dando cumplimiento a las disposiciones normativas que inciden, respetando, como todos los años, el principio de autoridad que debe prevalecer para que puedan hacer su trabajo de análisis y autorización correspondiente.</w:t>
      </w:r>
    </w:p>
    <w:p w14:paraId="7E2CB7AC" w14:textId="77777777" w:rsidR="00CA52D8" w:rsidRDefault="00CA52D8" w:rsidP="00B30FC3">
      <w:pPr>
        <w:tabs>
          <w:tab w:val="left" w:leader="underscore" w:pos="9639"/>
        </w:tabs>
        <w:spacing w:after="0" w:line="240" w:lineRule="auto"/>
        <w:jc w:val="both"/>
        <w:rPr>
          <w:rFonts w:cs="Calibri"/>
        </w:rPr>
      </w:pPr>
    </w:p>
    <w:p w14:paraId="4174553D" w14:textId="77777777" w:rsidR="00B30FC3" w:rsidRPr="00E74967" w:rsidRDefault="00B30FC3" w:rsidP="00B30FC3">
      <w:pPr>
        <w:tabs>
          <w:tab w:val="left" w:leader="underscore" w:pos="9639"/>
        </w:tabs>
        <w:spacing w:after="0" w:line="240" w:lineRule="auto"/>
        <w:jc w:val="both"/>
        <w:rPr>
          <w:rFonts w:cs="Calibri"/>
        </w:rPr>
      </w:pPr>
    </w:p>
    <w:p w14:paraId="08136E94" w14:textId="2B775A1C" w:rsidR="007D1E76" w:rsidRPr="000C3365" w:rsidRDefault="009736CB" w:rsidP="000C3365">
      <w:pPr>
        <w:pStyle w:val="Ttulo2"/>
        <w:rPr>
          <w:rFonts w:asciiTheme="minorHAnsi" w:hAnsiTheme="minorHAnsi" w:cstheme="minorHAnsi"/>
          <w:b/>
          <w:color w:val="auto"/>
          <w:sz w:val="22"/>
        </w:rPr>
      </w:pPr>
      <w:bookmarkStart w:id="2" w:name="_Toc161472868"/>
      <w:r>
        <w:rPr>
          <w:rFonts w:asciiTheme="minorHAnsi" w:hAnsiTheme="minorHAnsi" w:cstheme="minorHAnsi"/>
          <w:b/>
          <w:color w:val="auto"/>
          <w:sz w:val="22"/>
        </w:rPr>
        <w:t>3</w:t>
      </w:r>
      <w:r w:rsidR="007D1E76" w:rsidRPr="000C3365">
        <w:rPr>
          <w:rFonts w:asciiTheme="minorHAnsi" w:hAnsiTheme="minorHAnsi" w:cstheme="minorHAnsi"/>
          <w:b/>
          <w:color w:val="auto"/>
          <w:sz w:val="22"/>
        </w:rPr>
        <w:t xml:space="preserve">. </w:t>
      </w:r>
      <w:r w:rsidR="00E00323" w:rsidRPr="000C3365">
        <w:rPr>
          <w:rFonts w:asciiTheme="minorHAnsi" w:hAnsiTheme="minorHAnsi" w:cstheme="minorHAnsi"/>
          <w:b/>
          <w:color w:val="auto"/>
          <w:sz w:val="22"/>
        </w:rPr>
        <w:t>Organización y Objeto Social:</w:t>
      </w:r>
      <w:bookmarkEnd w:id="2"/>
    </w:p>
    <w:p w14:paraId="6C85E52D" w14:textId="77777777" w:rsidR="007D1E76" w:rsidRPr="00E74967" w:rsidRDefault="007D1E76" w:rsidP="00CB41C4">
      <w:pPr>
        <w:tabs>
          <w:tab w:val="left" w:leader="underscore" w:pos="9639"/>
        </w:tabs>
        <w:spacing w:after="0" w:line="240" w:lineRule="auto"/>
        <w:jc w:val="both"/>
        <w:rPr>
          <w:rFonts w:cs="Calibri"/>
        </w:rPr>
      </w:pPr>
    </w:p>
    <w:p w14:paraId="67B5DF2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473E4237" w14:textId="77777777" w:rsidR="007D1E76" w:rsidRPr="00E74967" w:rsidRDefault="007D1E76" w:rsidP="00CB41C4">
      <w:pPr>
        <w:tabs>
          <w:tab w:val="left" w:leader="underscore" w:pos="9639"/>
        </w:tabs>
        <w:spacing w:after="0" w:line="240" w:lineRule="auto"/>
        <w:jc w:val="both"/>
        <w:rPr>
          <w:rFonts w:cs="Calibri"/>
        </w:rPr>
      </w:pPr>
    </w:p>
    <w:p w14:paraId="3A7F258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Objeto social.</w:t>
      </w:r>
    </w:p>
    <w:p w14:paraId="0FDE3CD9" w14:textId="77777777" w:rsidR="00CA52D8" w:rsidRPr="00E74967" w:rsidRDefault="00CA52D8" w:rsidP="00CA52D8">
      <w:pPr>
        <w:spacing w:after="0" w:line="240" w:lineRule="auto"/>
        <w:jc w:val="both"/>
        <w:rPr>
          <w:rFonts w:cs="Calibri"/>
        </w:rPr>
      </w:pPr>
      <w:r>
        <w:rPr>
          <w:rFonts w:cs="Calibri"/>
        </w:rPr>
        <w:t>Lograr un manejo eficiente del agua para garantizar la cobertura y calidad de los servicios de agua potable y alcantarillado; y dar mantenimiento preventivo y correctivo a las redes de agua potable y alcantarillado para garantizar su funcionalidad.</w:t>
      </w:r>
    </w:p>
    <w:p w14:paraId="43C65E00" w14:textId="77777777" w:rsidR="007D1E76" w:rsidRPr="00E74967" w:rsidRDefault="007D1E76" w:rsidP="00CB41C4">
      <w:pPr>
        <w:tabs>
          <w:tab w:val="left" w:leader="underscore" w:pos="9639"/>
        </w:tabs>
        <w:spacing w:after="0" w:line="240" w:lineRule="auto"/>
        <w:jc w:val="both"/>
        <w:rPr>
          <w:rFonts w:cs="Calibri"/>
        </w:rPr>
      </w:pPr>
    </w:p>
    <w:p w14:paraId="2C110A08"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 actividad.</w:t>
      </w:r>
    </w:p>
    <w:p w14:paraId="289571A2" w14:textId="0835271A" w:rsidR="00CA52D8" w:rsidRPr="00E74967" w:rsidRDefault="00CA52D8" w:rsidP="00CA52D8">
      <w:pPr>
        <w:spacing w:after="0" w:line="240" w:lineRule="auto"/>
        <w:jc w:val="both"/>
        <w:rPr>
          <w:rFonts w:cs="Calibri"/>
        </w:rPr>
      </w:pPr>
      <w:r>
        <w:rPr>
          <w:rFonts w:cs="Calibri"/>
        </w:rPr>
        <w:t>Captación, tratamiento y suministro de agua para uso doméstico.</w:t>
      </w:r>
    </w:p>
    <w:p w14:paraId="15F90EEC" w14:textId="7B9F47E1" w:rsidR="00CB41C4" w:rsidRPr="00E74967" w:rsidRDefault="00CB41C4" w:rsidP="00CB41C4">
      <w:pPr>
        <w:tabs>
          <w:tab w:val="left" w:leader="underscore" w:pos="9639"/>
        </w:tabs>
        <w:spacing w:after="0" w:line="240" w:lineRule="auto"/>
        <w:jc w:val="both"/>
        <w:rPr>
          <w:rFonts w:cs="Calibri"/>
        </w:rPr>
      </w:pPr>
    </w:p>
    <w:p w14:paraId="2D21CE61" w14:textId="6D32D0F0"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Ejercicio fiscal (</w:t>
      </w:r>
      <w:r w:rsidR="00CB41C4" w:rsidRPr="00E74967">
        <w:rPr>
          <w:rFonts w:cs="Calibri"/>
        </w:rPr>
        <w:t>mencionar,</w:t>
      </w:r>
      <w:r w:rsidRPr="00E74967">
        <w:rPr>
          <w:rFonts w:cs="Calibri"/>
        </w:rPr>
        <w:t xml:space="preserve"> por ejemplo: enero a diciembre de 20</w:t>
      </w:r>
      <w:r w:rsidR="009736CB">
        <w:rPr>
          <w:rFonts w:cs="Calibri"/>
        </w:rPr>
        <w:t>24</w:t>
      </w:r>
      <w:r w:rsidRPr="00E74967">
        <w:rPr>
          <w:rFonts w:cs="Calibri"/>
        </w:rPr>
        <w:t>).</w:t>
      </w:r>
    </w:p>
    <w:p w14:paraId="2E2BB378" w14:textId="1879AA9B" w:rsidR="00CA52D8" w:rsidRDefault="00CA52D8" w:rsidP="00CA52D8">
      <w:pPr>
        <w:spacing w:after="0" w:line="240" w:lineRule="auto"/>
        <w:jc w:val="both"/>
        <w:rPr>
          <w:rFonts w:cs="Calibri"/>
        </w:rPr>
      </w:pPr>
      <w:r>
        <w:rPr>
          <w:rFonts w:cs="Calibri"/>
        </w:rPr>
        <w:t>Del 01 de enero al 31 de diciembre de 202</w:t>
      </w:r>
      <w:r>
        <w:rPr>
          <w:rFonts w:cs="Calibri"/>
        </w:rPr>
        <w:t>4</w:t>
      </w:r>
    </w:p>
    <w:p w14:paraId="16703E54" w14:textId="77777777" w:rsidR="007D1E76" w:rsidRPr="00E74967" w:rsidRDefault="007D1E76" w:rsidP="00CB41C4">
      <w:pPr>
        <w:tabs>
          <w:tab w:val="left" w:leader="underscore" w:pos="9639"/>
        </w:tabs>
        <w:spacing w:after="0" w:line="240" w:lineRule="auto"/>
        <w:jc w:val="both"/>
        <w:rPr>
          <w:rFonts w:cs="Calibri"/>
        </w:rPr>
      </w:pPr>
    </w:p>
    <w:p w14:paraId="6B13C9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Régimen jurídico (Forma como está dada de alta la entidad ante la S.H.C.P., ejemplos: S.C., S.A., Personas morales sin fines de lucro, etc.).</w:t>
      </w:r>
    </w:p>
    <w:p w14:paraId="2B439125" w14:textId="77777777" w:rsidR="00CA52D8" w:rsidRPr="00E74967" w:rsidRDefault="00CA52D8" w:rsidP="00CA52D8">
      <w:pPr>
        <w:spacing w:after="0" w:line="240" w:lineRule="auto"/>
        <w:jc w:val="both"/>
        <w:rPr>
          <w:rFonts w:cs="Calibri"/>
        </w:rPr>
      </w:pPr>
      <w:r>
        <w:rPr>
          <w:rFonts w:cs="Calibri"/>
        </w:rPr>
        <w:t>Personas Morales con Fines No Lucrativos.</w:t>
      </w:r>
    </w:p>
    <w:p w14:paraId="68B22724" w14:textId="77777777" w:rsidR="007D1E76" w:rsidRPr="00E74967" w:rsidRDefault="007D1E76" w:rsidP="00CB41C4">
      <w:pPr>
        <w:tabs>
          <w:tab w:val="left" w:leader="underscore" w:pos="9639"/>
        </w:tabs>
        <w:spacing w:after="0" w:line="240" w:lineRule="auto"/>
        <w:jc w:val="both"/>
        <w:rPr>
          <w:rFonts w:cs="Calibri"/>
        </w:rPr>
      </w:pPr>
    </w:p>
    <w:p w14:paraId="1594896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Consideraciones fiscales del ente: </w:t>
      </w:r>
      <w:r w:rsidR="00657009" w:rsidRPr="00E74967">
        <w:rPr>
          <w:rFonts w:cs="Calibri"/>
        </w:rPr>
        <w:t>R</w:t>
      </w:r>
      <w:r w:rsidRPr="00E74967">
        <w:rPr>
          <w:rFonts w:cs="Calibri"/>
        </w:rPr>
        <w:t>evelar el tipo de contribuciones que esté obligado a pagar o retener.</w:t>
      </w:r>
    </w:p>
    <w:p w14:paraId="07E6F2A0" w14:textId="77777777" w:rsidR="00994E47" w:rsidRPr="00FE133B" w:rsidRDefault="00994E47" w:rsidP="00994E47">
      <w:pPr>
        <w:spacing w:after="0" w:line="240" w:lineRule="auto"/>
        <w:jc w:val="both"/>
        <w:rPr>
          <w:rFonts w:cs="Calibri"/>
        </w:rPr>
      </w:pPr>
      <w:r w:rsidRPr="00FE133B">
        <w:rPr>
          <w:rFonts w:cs="Calibri"/>
        </w:rPr>
        <w:t></w:t>
      </w:r>
      <w:r w:rsidRPr="00FE133B">
        <w:rPr>
          <w:rFonts w:cs="Calibri"/>
        </w:rPr>
        <w:tab/>
      </w:r>
      <w:r>
        <w:rPr>
          <w:rFonts w:cs="Calibri"/>
        </w:rPr>
        <w:t>Entero de retenciones mensuales de ISR por sueldos y salarios.</w:t>
      </w:r>
    </w:p>
    <w:p w14:paraId="41F6926E" w14:textId="77777777" w:rsidR="00994E47" w:rsidRPr="00FE133B" w:rsidRDefault="00994E47" w:rsidP="00994E47">
      <w:pPr>
        <w:spacing w:after="0" w:line="240" w:lineRule="auto"/>
        <w:jc w:val="both"/>
        <w:rPr>
          <w:rFonts w:cs="Calibri"/>
        </w:rPr>
      </w:pPr>
      <w:r w:rsidRPr="00FE133B">
        <w:rPr>
          <w:rFonts w:cs="Calibri"/>
        </w:rPr>
        <w:t></w:t>
      </w:r>
      <w:r w:rsidRPr="00FE133B">
        <w:rPr>
          <w:rFonts w:cs="Calibri"/>
        </w:rPr>
        <w:tab/>
      </w:r>
      <w:r>
        <w:rPr>
          <w:rFonts w:cs="Calibri"/>
        </w:rPr>
        <w:t>Entero de retención de ISR por servicios profesionales mensual.</w:t>
      </w:r>
    </w:p>
    <w:p w14:paraId="2B5C698B" w14:textId="77777777" w:rsidR="00994E47" w:rsidRPr="00FE133B" w:rsidRDefault="00994E47" w:rsidP="00994E47">
      <w:pPr>
        <w:spacing w:after="0" w:line="240" w:lineRule="auto"/>
        <w:jc w:val="both"/>
        <w:rPr>
          <w:rFonts w:cs="Calibri"/>
        </w:rPr>
      </w:pPr>
      <w:r w:rsidRPr="00FE133B">
        <w:rPr>
          <w:rFonts w:cs="Calibri"/>
        </w:rPr>
        <w:t></w:t>
      </w:r>
      <w:r w:rsidRPr="00FE133B">
        <w:rPr>
          <w:rFonts w:cs="Calibri"/>
        </w:rPr>
        <w:tab/>
      </w:r>
      <w:r>
        <w:rPr>
          <w:rFonts w:cs="Calibri"/>
        </w:rPr>
        <w:t>Declaración informativa mensual de operaciones con terceros de IVA.</w:t>
      </w:r>
    </w:p>
    <w:p w14:paraId="1349BC56" w14:textId="77777777" w:rsidR="00994E47" w:rsidRPr="00FE133B" w:rsidRDefault="00994E47" w:rsidP="00994E47">
      <w:pPr>
        <w:spacing w:after="0" w:line="240" w:lineRule="auto"/>
        <w:jc w:val="both"/>
        <w:rPr>
          <w:rFonts w:cs="Calibri"/>
        </w:rPr>
      </w:pPr>
      <w:r w:rsidRPr="00FE133B">
        <w:rPr>
          <w:rFonts w:cs="Calibri"/>
        </w:rPr>
        <w:t></w:t>
      </w:r>
      <w:r w:rsidRPr="00FE133B">
        <w:rPr>
          <w:rFonts w:cs="Calibri"/>
        </w:rPr>
        <w:tab/>
      </w:r>
      <w:r>
        <w:rPr>
          <w:rFonts w:cs="Calibri"/>
        </w:rPr>
        <w:t>Pago definitivo mensual de IVA.</w:t>
      </w:r>
    </w:p>
    <w:p w14:paraId="0ECAE39F" w14:textId="77777777" w:rsidR="00994E47" w:rsidRPr="00FE133B" w:rsidRDefault="00994E47" w:rsidP="00994E47">
      <w:pPr>
        <w:spacing w:after="0" w:line="240" w:lineRule="auto"/>
        <w:jc w:val="both"/>
        <w:rPr>
          <w:rFonts w:cs="Calibri"/>
        </w:rPr>
      </w:pPr>
      <w:r w:rsidRPr="00FE133B">
        <w:rPr>
          <w:rFonts w:cs="Calibri"/>
        </w:rPr>
        <w:t></w:t>
      </w:r>
      <w:r w:rsidRPr="00FE133B">
        <w:rPr>
          <w:rFonts w:cs="Calibri"/>
        </w:rPr>
        <w:tab/>
      </w:r>
      <w:r>
        <w:rPr>
          <w:rFonts w:cs="Calibri"/>
        </w:rPr>
        <w:t>Entero de retención de Impuesto Cedular por servicios profesionales mensual.</w:t>
      </w:r>
    </w:p>
    <w:p w14:paraId="188AFCF7" w14:textId="77777777" w:rsidR="00994E47" w:rsidRPr="00FE133B" w:rsidRDefault="00994E47" w:rsidP="00994E47">
      <w:pPr>
        <w:spacing w:after="0" w:line="240" w:lineRule="auto"/>
        <w:jc w:val="both"/>
        <w:rPr>
          <w:rFonts w:cs="Calibri"/>
        </w:rPr>
      </w:pPr>
      <w:r w:rsidRPr="00FE133B">
        <w:rPr>
          <w:rFonts w:cs="Calibri"/>
        </w:rPr>
        <w:t></w:t>
      </w:r>
      <w:r w:rsidRPr="00FE133B">
        <w:rPr>
          <w:rFonts w:cs="Calibri"/>
        </w:rPr>
        <w:tab/>
      </w:r>
      <w:r>
        <w:rPr>
          <w:rFonts w:cs="Calibri"/>
        </w:rPr>
        <w:t>Declaración informativa anual de retenciones de Impuesto Cedular por servicios profesionales.</w:t>
      </w:r>
    </w:p>
    <w:p w14:paraId="27175E08" w14:textId="77777777" w:rsidR="00994E47" w:rsidRPr="00FE133B" w:rsidRDefault="00994E47" w:rsidP="00994E47">
      <w:pPr>
        <w:spacing w:after="0" w:line="240" w:lineRule="auto"/>
        <w:jc w:val="both"/>
        <w:rPr>
          <w:rFonts w:cs="Calibri"/>
        </w:rPr>
      </w:pPr>
      <w:r w:rsidRPr="00FE133B">
        <w:rPr>
          <w:rFonts w:cs="Calibri"/>
        </w:rPr>
        <w:t></w:t>
      </w:r>
      <w:r w:rsidRPr="00FE133B">
        <w:rPr>
          <w:rFonts w:cs="Calibri"/>
        </w:rPr>
        <w:tab/>
      </w:r>
      <w:r>
        <w:rPr>
          <w:rFonts w:cs="Calibri"/>
        </w:rPr>
        <w:t>Entero de Impuesto Sobre Nómina por sueldos y salarios e ingresos asimilados a salarios mensual.</w:t>
      </w:r>
    </w:p>
    <w:p w14:paraId="467F2BA1" w14:textId="77777777" w:rsidR="00994E47" w:rsidRPr="00FE133B" w:rsidRDefault="00994E47" w:rsidP="00994E47">
      <w:pPr>
        <w:spacing w:after="0" w:line="240" w:lineRule="auto"/>
        <w:jc w:val="both"/>
        <w:rPr>
          <w:rFonts w:cs="Calibri"/>
        </w:rPr>
      </w:pPr>
      <w:r w:rsidRPr="00FE133B">
        <w:rPr>
          <w:rFonts w:cs="Calibri"/>
        </w:rPr>
        <w:t></w:t>
      </w:r>
      <w:r w:rsidRPr="00FE133B">
        <w:rPr>
          <w:rFonts w:cs="Calibri"/>
        </w:rPr>
        <w:tab/>
      </w:r>
      <w:r>
        <w:rPr>
          <w:rFonts w:cs="Calibri"/>
        </w:rPr>
        <w:t>Declaración informativa anual de Impuesto Sobre Nómina por sueldos y salarios e ingresos asimilados a salarios.</w:t>
      </w:r>
    </w:p>
    <w:p w14:paraId="17B98759" w14:textId="77777777" w:rsidR="00994E47" w:rsidRPr="00FE133B" w:rsidRDefault="00994E47" w:rsidP="00994E47">
      <w:pPr>
        <w:spacing w:after="0" w:line="240" w:lineRule="auto"/>
        <w:jc w:val="both"/>
        <w:rPr>
          <w:rFonts w:cs="Calibri"/>
        </w:rPr>
      </w:pPr>
      <w:r w:rsidRPr="00FE133B">
        <w:rPr>
          <w:rFonts w:cs="Calibri"/>
        </w:rPr>
        <w:t></w:t>
      </w:r>
      <w:r w:rsidRPr="00FE133B">
        <w:rPr>
          <w:rFonts w:cs="Calibri"/>
        </w:rPr>
        <w:tab/>
      </w:r>
      <w:r>
        <w:rPr>
          <w:rFonts w:cs="Calibri"/>
        </w:rPr>
        <w:t>Declaración definitiva trimestral y entero de Derechos por Extracción de Aguas Nacionales.</w:t>
      </w:r>
    </w:p>
    <w:p w14:paraId="438A1C3A" w14:textId="77777777" w:rsidR="00994E47" w:rsidRDefault="00994E47" w:rsidP="00994E47">
      <w:pPr>
        <w:spacing w:after="0" w:line="240" w:lineRule="auto"/>
        <w:jc w:val="both"/>
        <w:rPr>
          <w:rFonts w:cs="Calibri"/>
        </w:rPr>
      </w:pPr>
      <w:r w:rsidRPr="00FE133B">
        <w:rPr>
          <w:rFonts w:cs="Calibri"/>
        </w:rPr>
        <w:t></w:t>
      </w:r>
      <w:r w:rsidRPr="00FE133B">
        <w:rPr>
          <w:rFonts w:cs="Calibri"/>
        </w:rPr>
        <w:tab/>
      </w:r>
      <w:r>
        <w:rPr>
          <w:rFonts w:cs="Calibri"/>
        </w:rPr>
        <w:t>Declaración definitiva trimestral y entero de Derechos por Descarga de Aguas Residuales.</w:t>
      </w:r>
    </w:p>
    <w:p w14:paraId="2469AE12" w14:textId="77777777" w:rsidR="00994E47" w:rsidRPr="00FB4C27" w:rsidRDefault="00994E47" w:rsidP="00994E47">
      <w:pPr>
        <w:autoSpaceDE w:val="0"/>
        <w:autoSpaceDN w:val="0"/>
        <w:adjustRightInd w:val="0"/>
        <w:spacing w:after="0" w:line="240" w:lineRule="auto"/>
        <w:rPr>
          <w:rFonts w:cs="Calibri"/>
          <w:b/>
        </w:rPr>
      </w:pPr>
      <w:r w:rsidRPr="00FE133B">
        <w:rPr>
          <w:rFonts w:cs="Calibri"/>
        </w:rPr>
        <w:t></w:t>
      </w:r>
      <w:r w:rsidRPr="00FE133B">
        <w:rPr>
          <w:rFonts w:cs="Calibri"/>
        </w:rPr>
        <w:tab/>
      </w:r>
      <w:r>
        <w:rPr>
          <w:rFonts w:cs="Calibri"/>
        </w:rPr>
        <w:t>Declaración del ejercicio, Personas Morales con Fines No Lucrativos F21.</w:t>
      </w:r>
    </w:p>
    <w:p w14:paraId="6268EF76" w14:textId="77777777" w:rsidR="007D1E76" w:rsidRPr="00E74967" w:rsidRDefault="007D1E76" w:rsidP="00CB41C4">
      <w:pPr>
        <w:tabs>
          <w:tab w:val="left" w:leader="underscore" w:pos="9639"/>
        </w:tabs>
        <w:spacing w:after="0" w:line="240" w:lineRule="auto"/>
        <w:jc w:val="both"/>
        <w:rPr>
          <w:rFonts w:cs="Calibri"/>
        </w:rPr>
      </w:pPr>
    </w:p>
    <w:p w14:paraId="6EB77A6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Estructura organizacional básica.</w:t>
      </w:r>
    </w:p>
    <w:p w14:paraId="0FE08B68" w14:textId="77777777" w:rsidR="007D1E76" w:rsidRPr="00E74967" w:rsidRDefault="007D1E76" w:rsidP="00CB41C4">
      <w:pPr>
        <w:tabs>
          <w:tab w:val="left" w:leader="underscore" w:pos="9639"/>
        </w:tabs>
        <w:spacing w:after="0" w:line="240" w:lineRule="auto"/>
        <w:ind w:firstLine="708"/>
        <w:jc w:val="both"/>
        <w:rPr>
          <w:rFonts w:cs="Calibri"/>
        </w:rPr>
      </w:pPr>
      <w:r w:rsidRPr="00E74967">
        <w:rPr>
          <w:rFonts w:cs="Calibri"/>
        </w:rPr>
        <w:t>*Anexar organigrama de la entidad.</w:t>
      </w:r>
    </w:p>
    <w:p w14:paraId="3450C629" w14:textId="1A0A78D1" w:rsidR="007D1E76" w:rsidRDefault="00994E47" w:rsidP="00CB41C4">
      <w:pPr>
        <w:tabs>
          <w:tab w:val="left" w:leader="underscore" w:pos="9639"/>
        </w:tabs>
        <w:spacing w:after="0" w:line="240" w:lineRule="auto"/>
        <w:jc w:val="both"/>
        <w:rPr>
          <w:rFonts w:cs="Calibri"/>
        </w:rPr>
      </w:pPr>
      <w:r>
        <w:rPr>
          <w:noProof/>
        </w:rPr>
        <w:drawing>
          <wp:inline distT="0" distB="0" distL="0" distR="0" wp14:anchorId="1EC9BC59" wp14:editId="1B1DB42F">
            <wp:extent cx="6151880" cy="3860165"/>
            <wp:effectExtent l="0" t="0" r="1270" b="698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151880" cy="3860165"/>
                    </a:xfrm>
                    <a:prstGeom prst="rect">
                      <a:avLst/>
                    </a:prstGeom>
                  </pic:spPr>
                </pic:pic>
              </a:graphicData>
            </a:graphic>
          </wp:inline>
        </w:drawing>
      </w:r>
    </w:p>
    <w:p w14:paraId="45085FA9" w14:textId="77777777" w:rsidR="0054701E" w:rsidRDefault="0054701E" w:rsidP="00CB41C4">
      <w:pPr>
        <w:tabs>
          <w:tab w:val="left" w:leader="underscore" w:pos="9639"/>
        </w:tabs>
        <w:spacing w:after="0" w:line="240" w:lineRule="auto"/>
        <w:jc w:val="both"/>
        <w:rPr>
          <w:rFonts w:cs="Calibri"/>
        </w:rPr>
      </w:pPr>
    </w:p>
    <w:p w14:paraId="75F33799" w14:textId="77777777" w:rsidR="00CB41C4" w:rsidRPr="00E74967" w:rsidRDefault="00CB41C4" w:rsidP="00CB41C4">
      <w:pPr>
        <w:tabs>
          <w:tab w:val="left" w:leader="underscore" w:pos="9639"/>
        </w:tabs>
        <w:spacing w:after="0" w:line="240" w:lineRule="auto"/>
        <w:jc w:val="both"/>
        <w:rPr>
          <w:rFonts w:cs="Calibri"/>
        </w:rPr>
      </w:pPr>
    </w:p>
    <w:p w14:paraId="19CEE146" w14:textId="0080C658"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w:t>
      </w:r>
      <w:r w:rsidR="00396D53" w:rsidRPr="00396D53">
        <w:rPr>
          <w:rFonts w:cs="Calibri"/>
        </w:rPr>
        <w:t>Fideicomisos de los cuales es fideicomitente o fideicomisario, y contratos análogos, incluyendo mandatos de los cuales es parte.</w:t>
      </w:r>
    </w:p>
    <w:p w14:paraId="30A4EDC2" w14:textId="26B1F581" w:rsidR="007D1E76" w:rsidRPr="00E74967" w:rsidRDefault="00994E47" w:rsidP="00CB41C4">
      <w:pPr>
        <w:tabs>
          <w:tab w:val="left" w:leader="underscore" w:pos="9639"/>
        </w:tabs>
        <w:spacing w:after="0" w:line="240" w:lineRule="auto"/>
        <w:jc w:val="both"/>
        <w:rPr>
          <w:rFonts w:cs="Calibri"/>
        </w:rPr>
      </w:pPr>
      <w:r>
        <w:rPr>
          <w:rFonts w:cs="Calibri"/>
        </w:rPr>
        <w:t>Sin fideicomisos que manifestar durante el período.</w:t>
      </w:r>
    </w:p>
    <w:p w14:paraId="4241EF36" w14:textId="7E6E2FBC" w:rsidR="007D1E76" w:rsidRDefault="007D1E76" w:rsidP="00CB41C4">
      <w:pPr>
        <w:tabs>
          <w:tab w:val="left" w:leader="underscore" w:pos="9639"/>
        </w:tabs>
        <w:spacing w:after="0" w:line="240" w:lineRule="auto"/>
        <w:jc w:val="both"/>
        <w:rPr>
          <w:rFonts w:cs="Calibri"/>
        </w:rPr>
      </w:pPr>
    </w:p>
    <w:p w14:paraId="642A4B90" w14:textId="77777777" w:rsidR="00CB41C4" w:rsidRPr="00E74967" w:rsidRDefault="00CB41C4" w:rsidP="00CB41C4">
      <w:pPr>
        <w:tabs>
          <w:tab w:val="left" w:leader="underscore" w:pos="9639"/>
        </w:tabs>
        <w:spacing w:after="0" w:line="240" w:lineRule="auto"/>
        <w:jc w:val="both"/>
        <w:rPr>
          <w:rFonts w:cs="Calibri"/>
        </w:rPr>
      </w:pPr>
    </w:p>
    <w:p w14:paraId="12E280BB" w14:textId="61B6566F" w:rsidR="007D1E76" w:rsidRPr="000C3365" w:rsidRDefault="006F77A8" w:rsidP="000C3365">
      <w:pPr>
        <w:pStyle w:val="Ttulo2"/>
        <w:rPr>
          <w:rFonts w:asciiTheme="minorHAnsi" w:hAnsiTheme="minorHAnsi" w:cstheme="minorHAnsi"/>
          <w:b/>
          <w:color w:val="auto"/>
          <w:sz w:val="22"/>
        </w:rPr>
      </w:pPr>
      <w:bookmarkStart w:id="3" w:name="_Toc161472869"/>
      <w:r>
        <w:rPr>
          <w:rFonts w:asciiTheme="minorHAnsi" w:hAnsiTheme="minorHAnsi" w:cstheme="minorHAnsi"/>
          <w:b/>
          <w:color w:val="auto"/>
          <w:sz w:val="22"/>
        </w:rPr>
        <w:t>4</w:t>
      </w:r>
      <w:r w:rsidR="007D1E76" w:rsidRPr="000C3365">
        <w:rPr>
          <w:rFonts w:asciiTheme="minorHAnsi" w:hAnsiTheme="minorHAnsi" w:cstheme="minorHAnsi"/>
          <w:b/>
          <w:color w:val="auto"/>
          <w:sz w:val="22"/>
        </w:rPr>
        <w:t>. Bases de Preparació</w:t>
      </w:r>
      <w:r w:rsidR="00E00323" w:rsidRPr="000C3365">
        <w:rPr>
          <w:rFonts w:asciiTheme="minorHAnsi" w:hAnsiTheme="minorHAnsi" w:cstheme="minorHAnsi"/>
          <w:b/>
          <w:color w:val="auto"/>
          <w:sz w:val="22"/>
        </w:rPr>
        <w:t>n de los Estados Financieros:</w:t>
      </w:r>
      <w:bookmarkEnd w:id="3"/>
    </w:p>
    <w:p w14:paraId="1671328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FABCEB8" w14:textId="77777777" w:rsidR="007D1E76" w:rsidRPr="00E74967" w:rsidRDefault="007D1E76" w:rsidP="00CB41C4">
      <w:pPr>
        <w:tabs>
          <w:tab w:val="left" w:leader="underscore" w:pos="9639"/>
        </w:tabs>
        <w:spacing w:after="0" w:line="240" w:lineRule="auto"/>
        <w:jc w:val="both"/>
        <w:rPr>
          <w:rFonts w:cs="Calibri"/>
        </w:rPr>
      </w:pPr>
    </w:p>
    <w:p w14:paraId="4D2617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Si se ha observado la normatividad emitida por el CONAC y las disposiciones legales aplicables.</w:t>
      </w:r>
    </w:p>
    <w:p w14:paraId="495B8FFF" w14:textId="4FB929E6" w:rsidR="007D1E76" w:rsidRPr="00E74967" w:rsidRDefault="00994E47" w:rsidP="00CB41C4">
      <w:pPr>
        <w:tabs>
          <w:tab w:val="left" w:leader="underscore" w:pos="9639"/>
        </w:tabs>
        <w:spacing w:after="0" w:line="240" w:lineRule="auto"/>
        <w:jc w:val="both"/>
        <w:rPr>
          <w:rFonts w:cs="Calibri"/>
        </w:rPr>
      </w:pPr>
      <w:r>
        <w:rPr>
          <w:rFonts w:cs="Calibri"/>
        </w:rPr>
        <w:t>Sí</w:t>
      </w:r>
    </w:p>
    <w:p w14:paraId="58B00679" w14:textId="77777777" w:rsidR="007D1E76" w:rsidRPr="00E74967" w:rsidRDefault="007D1E76" w:rsidP="00CB41C4">
      <w:pPr>
        <w:tabs>
          <w:tab w:val="left" w:leader="underscore" w:pos="9639"/>
        </w:tabs>
        <w:spacing w:after="0" w:line="240" w:lineRule="auto"/>
        <w:jc w:val="both"/>
        <w:rPr>
          <w:rFonts w:cs="Calibri"/>
        </w:rPr>
      </w:pPr>
    </w:p>
    <w:p w14:paraId="73F52BD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0BC5966A" w14:textId="36282152" w:rsidR="00994E47" w:rsidRPr="00E74967" w:rsidRDefault="00994E47" w:rsidP="00994E47">
      <w:pPr>
        <w:tabs>
          <w:tab w:val="left" w:leader="underscore" w:pos="9639"/>
        </w:tabs>
        <w:spacing w:after="0" w:line="240" w:lineRule="auto"/>
        <w:jc w:val="both"/>
        <w:rPr>
          <w:rFonts w:cs="Calibri"/>
        </w:rPr>
      </w:pPr>
      <w:r>
        <w:rPr>
          <w:rFonts w:cs="Calibri"/>
        </w:rPr>
        <w:t>Costo histórico.</w:t>
      </w:r>
    </w:p>
    <w:p w14:paraId="2DCF252C" w14:textId="59ED9DA5" w:rsidR="007D1E76" w:rsidRPr="00E74967" w:rsidRDefault="007D1E76" w:rsidP="00CB41C4">
      <w:pPr>
        <w:tabs>
          <w:tab w:val="left" w:leader="underscore" w:pos="9639"/>
        </w:tabs>
        <w:spacing w:after="0" w:line="240" w:lineRule="auto"/>
        <w:jc w:val="both"/>
        <w:rPr>
          <w:rFonts w:cs="Calibri"/>
        </w:rPr>
      </w:pPr>
    </w:p>
    <w:p w14:paraId="7ED1C1ED" w14:textId="784B4DD1"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w:t>
      </w:r>
      <w:r w:rsidR="00A6346D" w:rsidRPr="00A6346D">
        <w:rPr>
          <w:rFonts w:cs="Calibri"/>
        </w:rPr>
        <w:t>Postulados básicos de Contabilidad Gubernamental (PBCG)</w:t>
      </w:r>
      <w:r w:rsidRPr="00E74967">
        <w:rPr>
          <w:rFonts w:cs="Calibri"/>
        </w:rPr>
        <w:t>.</w:t>
      </w:r>
    </w:p>
    <w:p w14:paraId="5009A319" w14:textId="4856439D" w:rsidR="007D1E76" w:rsidRPr="00E74967" w:rsidRDefault="00994E47" w:rsidP="00CB41C4">
      <w:pPr>
        <w:tabs>
          <w:tab w:val="left" w:leader="underscore" w:pos="9639"/>
        </w:tabs>
        <w:spacing w:after="0" w:line="240" w:lineRule="auto"/>
        <w:jc w:val="both"/>
        <w:rPr>
          <w:rFonts w:cs="Calibri"/>
        </w:rPr>
      </w:pPr>
      <w:r>
        <w:rPr>
          <w:rFonts w:cs="Calibri"/>
        </w:rPr>
        <w:t>Sí</w:t>
      </w:r>
    </w:p>
    <w:p w14:paraId="1CC2D59E" w14:textId="77777777" w:rsidR="007D1E76" w:rsidRPr="00E74967" w:rsidRDefault="007D1E76" w:rsidP="00CB41C4">
      <w:pPr>
        <w:tabs>
          <w:tab w:val="left" w:leader="underscore" w:pos="9639"/>
        </w:tabs>
        <w:spacing w:after="0" w:line="240" w:lineRule="auto"/>
        <w:jc w:val="both"/>
        <w:rPr>
          <w:rFonts w:cs="Calibri"/>
        </w:rPr>
      </w:pPr>
    </w:p>
    <w:p w14:paraId="7989D893" w14:textId="6A08B59B"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w:t>
      </w:r>
      <w:r w:rsidR="0043078C" w:rsidRPr="0043078C">
        <w:rPr>
          <w:rFonts w:cs="Calibri"/>
        </w:rPr>
        <w:t>Marco Conceptual de Contabilidad Gubernamental (MCCG) y sus modificaciones.</w:t>
      </w:r>
    </w:p>
    <w:p w14:paraId="384678DD" w14:textId="59828550" w:rsidR="007D1E76" w:rsidRPr="00E74967" w:rsidRDefault="00994E47" w:rsidP="00CB41C4">
      <w:pPr>
        <w:tabs>
          <w:tab w:val="left" w:leader="underscore" w:pos="9639"/>
        </w:tabs>
        <w:spacing w:after="0" w:line="240" w:lineRule="auto"/>
        <w:jc w:val="both"/>
        <w:rPr>
          <w:rFonts w:cs="Calibri"/>
        </w:rPr>
      </w:pPr>
      <w:r>
        <w:rPr>
          <w:rFonts w:cs="Calibri"/>
        </w:rPr>
        <w:t>No aplica</w:t>
      </w:r>
    </w:p>
    <w:p w14:paraId="02977AB3" w14:textId="77777777" w:rsidR="007D1E76" w:rsidRPr="00E74967" w:rsidRDefault="007D1E76" w:rsidP="00CB41C4">
      <w:pPr>
        <w:tabs>
          <w:tab w:val="left" w:leader="underscore" w:pos="9639"/>
        </w:tabs>
        <w:spacing w:after="0" w:line="240" w:lineRule="auto"/>
        <w:jc w:val="both"/>
        <w:rPr>
          <w:rFonts w:cs="Calibri"/>
        </w:rPr>
      </w:pPr>
    </w:p>
    <w:p w14:paraId="084AD24A" w14:textId="4A679E5F"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Para las entidades que por primera vez estén implementando la base </w:t>
      </w:r>
      <w:r w:rsidR="0086420E">
        <w:rPr>
          <w:rFonts w:cs="Calibri"/>
        </w:rPr>
        <w:t xml:space="preserve">de </w:t>
      </w:r>
      <w:r w:rsidRPr="00E74967">
        <w:rPr>
          <w:rFonts w:cs="Calibri"/>
        </w:rPr>
        <w:t>devengado de acuerdo a la Ley de Contabilidad, deberán:</w:t>
      </w:r>
    </w:p>
    <w:p w14:paraId="39720946" w14:textId="77777777" w:rsidR="007D1E76" w:rsidRPr="00E74967" w:rsidRDefault="007D1E76" w:rsidP="00CB41C4">
      <w:pPr>
        <w:tabs>
          <w:tab w:val="left" w:leader="underscore" w:pos="9639"/>
        </w:tabs>
        <w:spacing w:after="0" w:line="240" w:lineRule="auto"/>
        <w:jc w:val="both"/>
        <w:rPr>
          <w:rFonts w:cs="Calibri"/>
        </w:rPr>
      </w:pPr>
    </w:p>
    <w:p w14:paraId="66DA893A"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las nuevas políticas de reconocimiento:</w:t>
      </w:r>
    </w:p>
    <w:p w14:paraId="68CF5993" w14:textId="01B5178A" w:rsidR="007D1E76" w:rsidRPr="00E74967" w:rsidRDefault="00994E47" w:rsidP="00CB41C4">
      <w:pPr>
        <w:tabs>
          <w:tab w:val="left" w:leader="underscore" w:pos="9639"/>
        </w:tabs>
        <w:spacing w:after="0" w:line="240" w:lineRule="auto"/>
        <w:jc w:val="both"/>
        <w:rPr>
          <w:rFonts w:cs="Calibri"/>
        </w:rPr>
      </w:pPr>
      <w:r>
        <w:rPr>
          <w:rFonts w:cs="Calibri"/>
        </w:rPr>
        <w:t>No aplica</w:t>
      </w:r>
    </w:p>
    <w:p w14:paraId="75AC3EA1" w14:textId="77777777" w:rsidR="007D1E76" w:rsidRPr="00E74967" w:rsidRDefault="007D1E76" w:rsidP="00CB41C4">
      <w:pPr>
        <w:tabs>
          <w:tab w:val="left" w:leader="underscore" w:pos="9639"/>
        </w:tabs>
        <w:spacing w:after="0" w:line="240" w:lineRule="auto"/>
        <w:jc w:val="both"/>
        <w:rPr>
          <w:rFonts w:cs="Calibri"/>
        </w:rPr>
      </w:pPr>
    </w:p>
    <w:p w14:paraId="6BEBAB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*Plan de implementación:</w:t>
      </w:r>
    </w:p>
    <w:p w14:paraId="4B273D75" w14:textId="0828F716" w:rsidR="007D1E76" w:rsidRPr="00E74967" w:rsidRDefault="00994E47" w:rsidP="00CB41C4">
      <w:pPr>
        <w:tabs>
          <w:tab w:val="left" w:leader="underscore" w:pos="9639"/>
        </w:tabs>
        <w:spacing w:after="0" w:line="240" w:lineRule="auto"/>
        <w:jc w:val="both"/>
        <w:rPr>
          <w:rFonts w:cs="Calibri"/>
        </w:rPr>
      </w:pPr>
      <w:r>
        <w:rPr>
          <w:rFonts w:cs="Calibri"/>
        </w:rPr>
        <w:t>No aplica</w:t>
      </w:r>
    </w:p>
    <w:p w14:paraId="3B6D9156" w14:textId="77777777" w:rsidR="007D1E76" w:rsidRPr="00E74967" w:rsidRDefault="007D1E76" w:rsidP="00CB41C4">
      <w:pPr>
        <w:tabs>
          <w:tab w:val="left" w:leader="underscore" w:pos="9639"/>
        </w:tabs>
        <w:spacing w:after="0" w:line="240" w:lineRule="auto"/>
        <w:jc w:val="both"/>
        <w:rPr>
          <w:rFonts w:cs="Calibri"/>
        </w:rPr>
      </w:pPr>
    </w:p>
    <w:p w14:paraId="756D764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los cambios en las políticas, la clasificación y medición de las mismas, así como su impacto en la información financiera:</w:t>
      </w:r>
    </w:p>
    <w:p w14:paraId="0360043A" w14:textId="460CF60E" w:rsidR="007D1E76" w:rsidRPr="00E74967" w:rsidRDefault="00994E47" w:rsidP="00CB41C4">
      <w:pPr>
        <w:tabs>
          <w:tab w:val="left" w:leader="underscore" w:pos="9639"/>
        </w:tabs>
        <w:spacing w:after="0" w:line="240" w:lineRule="auto"/>
        <w:jc w:val="both"/>
        <w:rPr>
          <w:rFonts w:cs="Calibri"/>
        </w:rPr>
      </w:pPr>
      <w:r>
        <w:rPr>
          <w:rFonts w:cs="Calibri"/>
        </w:rPr>
        <w:t>No aplica</w:t>
      </w:r>
    </w:p>
    <w:p w14:paraId="57326D16" w14:textId="77777777" w:rsidR="006F0687" w:rsidRDefault="006F0687" w:rsidP="006F0687">
      <w:pPr>
        <w:tabs>
          <w:tab w:val="left" w:leader="underscore" w:pos="9639"/>
        </w:tabs>
        <w:spacing w:after="0" w:line="240" w:lineRule="auto"/>
        <w:jc w:val="both"/>
        <w:rPr>
          <w:rFonts w:cs="Calibri"/>
        </w:rPr>
      </w:pPr>
    </w:p>
    <w:p w14:paraId="71521D40" w14:textId="25A82D8F" w:rsidR="006F0687" w:rsidRPr="00E74967" w:rsidRDefault="006F0687" w:rsidP="006F0687">
      <w:pPr>
        <w:tabs>
          <w:tab w:val="left" w:leader="underscore" w:pos="9639"/>
        </w:tabs>
        <w:spacing w:after="0" w:line="240" w:lineRule="auto"/>
        <w:jc w:val="both"/>
        <w:rPr>
          <w:rFonts w:cs="Calibri"/>
        </w:rPr>
      </w:pPr>
      <w:r w:rsidRPr="00E74967">
        <w:rPr>
          <w:rFonts w:cs="Calibri"/>
        </w:rPr>
        <w:t>*</w:t>
      </w:r>
      <w:r w:rsidR="00D546B2" w:rsidRPr="00D546B2">
        <w:rPr>
          <w:rFonts w:cs="Calibri"/>
        </w:rPr>
        <w:t>Presentar los últimos estados financieros con la normatividad anteriormente utilizada con las nuevas políticas para fines de comparación en la transición a la base de devengado.</w:t>
      </w:r>
    </w:p>
    <w:p w14:paraId="76390FE4" w14:textId="4F794AC2" w:rsidR="006F0687" w:rsidRPr="00E74967" w:rsidRDefault="00994E47" w:rsidP="006F0687">
      <w:pPr>
        <w:tabs>
          <w:tab w:val="left" w:leader="underscore" w:pos="9639"/>
        </w:tabs>
        <w:spacing w:after="0" w:line="240" w:lineRule="auto"/>
        <w:jc w:val="both"/>
        <w:rPr>
          <w:rFonts w:cs="Calibri"/>
        </w:rPr>
      </w:pPr>
      <w:r>
        <w:rPr>
          <w:rFonts w:cs="Calibri"/>
        </w:rPr>
        <w:t>No aplica</w:t>
      </w:r>
    </w:p>
    <w:p w14:paraId="158EC49E" w14:textId="77777777" w:rsidR="007D1E76" w:rsidRPr="00E74967" w:rsidRDefault="007D1E76" w:rsidP="00CB41C4">
      <w:pPr>
        <w:tabs>
          <w:tab w:val="left" w:leader="underscore" w:pos="9639"/>
        </w:tabs>
        <w:spacing w:after="0" w:line="240" w:lineRule="auto"/>
        <w:jc w:val="both"/>
        <w:rPr>
          <w:rFonts w:cs="Calibri"/>
        </w:rPr>
      </w:pPr>
    </w:p>
    <w:p w14:paraId="2119A6EF" w14:textId="77777777" w:rsidR="007D1E76" w:rsidRPr="00E74967" w:rsidRDefault="007D1E76" w:rsidP="00CB41C4">
      <w:pPr>
        <w:tabs>
          <w:tab w:val="left" w:leader="underscore" w:pos="9639"/>
        </w:tabs>
        <w:spacing w:after="0" w:line="240" w:lineRule="auto"/>
        <w:jc w:val="both"/>
        <w:rPr>
          <w:rFonts w:cs="Calibri"/>
        </w:rPr>
      </w:pPr>
    </w:p>
    <w:p w14:paraId="7025E7E0" w14:textId="4C87F38F" w:rsidR="007D1E76" w:rsidRPr="00E74967" w:rsidRDefault="007F699D" w:rsidP="000C3365">
      <w:pPr>
        <w:pStyle w:val="Ttulo2"/>
        <w:rPr>
          <w:rFonts w:cs="Calibri"/>
          <w:b/>
        </w:rPr>
      </w:pPr>
      <w:bookmarkStart w:id="4" w:name="_Toc161472870"/>
      <w:r>
        <w:rPr>
          <w:rFonts w:asciiTheme="minorHAnsi" w:hAnsiTheme="minorHAnsi" w:cstheme="minorHAnsi"/>
          <w:b/>
          <w:color w:val="auto"/>
          <w:sz w:val="22"/>
        </w:rPr>
        <w:t>5</w:t>
      </w:r>
      <w:r w:rsidR="007D1E76" w:rsidRPr="000C3365">
        <w:rPr>
          <w:rFonts w:asciiTheme="minorHAnsi" w:hAnsiTheme="minorHAnsi" w:cstheme="minorHAnsi"/>
          <w:b/>
          <w:color w:val="auto"/>
          <w:sz w:val="22"/>
        </w:rPr>
        <w:t>. Políticas de</w:t>
      </w:r>
      <w:r w:rsidR="00E00323" w:rsidRPr="000C3365">
        <w:rPr>
          <w:rFonts w:asciiTheme="minorHAnsi" w:hAnsiTheme="minorHAnsi" w:cstheme="minorHAnsi"/>
          <w:b/>
          <w:color w:val="auto"/>
          <w:sz w:val="22"/>
        </w:rPr>
        <w:t xml:space="preserve"> Contabilidad Significativas:</w:t>
      </w:r>
      <w:bookmarkEnd w:id="4"/>
    </w:p>
    <w:p w14:paraId="685C2AC3" w14:textId="77777777" w:rsidR="00AF4375" w:rsidRPr="00AF4375" w:rsidRDefault="00AF4375" w:rsidP="00AF4375">
      <w:pPr>
        <w:tabs>
          <w:tab w:val="left" w:leader="underscore" w:pos="9639"/>
        </w:tabs>
        <w:spacing w:after="0" w:line="240" w:lineRule="auto"/>
        <w:jc w:val="both"/>
        <w:rPr>
          <w:rFonts w:cs="Calibri"/>
        </w:rPr>
      </w:pPr>
      <w:r w:rsidRPr="00AF4375">
        <w:rPr>
          <w:rFonts w:cs="Calibri"/>
        </w:rPr>
        <w:t xml:space="preserve">Son los principios, bases, reglas y procedimientos específicos adoptados por el ente público en la elaboración y presentación de sus estados financieros. </w:t>
      </w:r>
    </w:p>
    <w:p w14:paraId="793D8065" w14:textId="32E17174" w:rsidR="007D1E76" w:rsidRPr="00E74967" w:rsidRDefault="00AF4375" w:rsidP="00AF4375">
      <w:pPr>
        <w:tabs>
          <w:tab w:val="left" w:leader="underscore" w:pos="9639"/>
        </w:tabs>
        <w:spacing w:after="0" w:line="240" w:lineRule="auto"/>
        <w:jc w:val="both"/>
        <w:rPr>
          <w:rFonts w:cs="Calibri"/>
        </w:rPr>
      </w:pPr>
      <w:r w:rsidRPr="00AF4375">
        <w:rPr>
          <w:rFonts w:cs="Calibri"/>
        </w:rPr>
        <w:t>El ente público seleccionará y aplicará sus políticas contables de manera congruente para transacciones, otros eventos y condiciones que sean similares.</w:t>
      </w:r>
    </w:p>
    <w:p w14:paraId="4773A4F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3A8D7951" w14:textId="77777777" w:rsidR="007D1E76" w:rsidRPr="00E74967" w:rsidRDefault="007D1E76" w:rsidP="00CB41C4">
      <w:pPr>
        <w:tabs>
          <w:tab w:val="left" w:leader="underscore" w:pos="9639"/>
        </w:tabs>
        <w:spacing w:after="0" w:line="240" w:lineRule="auto"/>
        <w:jc w:val="both"/>
        <w:rPr>
          <w:rFonts w:cs="Calibri"/>
        </w:rPr>
      </w:pPr>
    </w:p>
    <w:p w14:paraId="6073F87B" w14:textId="088E4F59"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w:t>
      </w:r>
      <w:r w:rsidR="00FC1AE8" w:rsidRPr="00FC1AE8">
        <w:rPr>
          <w:rFonts w:cs="Calibri"/>
        </w:rPr>
        <w:t>Actualización: se informará del método utilizado para la actualización del valor de los activos, pasivos y Hacienda Pública/Patrimonio y las razones de dicha elección. Así como informar de la desconexión o reconexión inflacionaria</w:t>
      </w:r>
      <w:r w:rsidRPr="00E74967">
        <w:rPr>
          <w:rFonts w:cs="Calibri"/>
        </w:rPr>
        <w:t>:</w:t>
      </w:r>
    </w:p>
    <w:p w14:paraId="5C1081A4" w14:textId="4291E46F" w:rsidR="007D1E76" w:rsidRPr="00E74967" w:rsidRDefault="00994E47" w:rsidP="00CB41C4">
      <w:pPr>
        <w:tabs>
          <w:tab w:val="left" w:leader="underscore" w:pos="9639"/>
        </w:tabs>
        <w:spacing w:after="0" w:line="240" w:lineRule="auto"/>
        <w:jc w:val="both"/>
        <w:rPr>
          <w:rFonts w:cs="Calibri"/>
        </w:rPr>
      </w:pPr>
      <w:r>
        <w:rPr>
          <w:rFonts w:cs="Calibri"/>
        </w:rPr>
        <w:t>No aplica</w:t>
      </w:r>
    </w:p>
    <w:p w14:paraId="004A4D32" w14:textId="77777777" w:rsidR="007D1E76" w:rsidRPr="00E74967" w:rsidRDefault="007D1E76" w:rsidP="00CB41C4">
      <w:pPr>
        <w:tabs>
          <w:tab w:val="left" w:leader="underscore" w:pos="9639"/>
        </w:tabs>
        <w:spacing w:after="0" w:line="240" w:lineRule="auto"/>
        <w:jc w:val="both"/>
        <w:rPr>
          <w:rFonts w:cs="Calibri"/>
        </w:rPr>
      </w:pPr>
    </w:p>
    <w:p w14:paraId="3D8017C2" w14:textId="13DA86EE"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w:t>
      </w:r>
      <w:r w:rsidR="001C710C" w:rsidRPr="001C710C">
        <w:rPr>
          <w:rFonts w:cs="Calibri"/>
        </w:rPr>
        <w:t>Informar sobre la realización de operaciones en el extranjero y de sus efectos en la información financiera gubernamental, considerando entre otros el importe de las variaciones cambiarias reconocidas en el resultado (ahorro o desahorro)</w:t>
      </w:r>
      <w:r w:rsidRPr="00E74967">
        <w:rPr>
          <w:rFonts w:cs="Calibri"/>
        </w:rPr>
        <w:t>:</w:t>
      </w:r>
    </w:p>
    <w:p w14:paraId="761C47D7" w14:textId="21D55D55" w:rsidR="007D1E76" w:rsidRPr="00E74967" w:rsidRDefault="00994E47" w:rsidP="00CB41C4">
      <w:pPr>
        <w:tabs>
          <w:tab w:val="left" w:leader="underscore" w:pos="9639"/>
        </w:tabs>
        <w:spacing w:after="0" w:line="240" w:lineRule="auto"/>
        <w:jc w:val="both"/>
        <w:rPr>
          <w:rFonts w:cs="Calibri"/>
        </w:rPr>
      </w:pPr>
      <w:r>
        <w:rPr>
          <w:rFonts w:cs="Calibri"/>
        </w:rPr>
        <w:t>N</w:t>
      </w:r>
      <w:r w:rsidR="00DF28AC">
        <w:rPr>
          <w:rFonts w:cs="Calibri"/>
        </w:rPr>
        <w:t>o aplica</w:t>
      </w:r>
    </w:p>
    <w:p w14:paraId="35FCED94" w14:textId="77777777" w:rsidR="007D1E76" w:rsidRPr="00E74967" w:rsidRDefault="007D1E76" w:rsidP="00CB41C4">
      <w:pPr>
        <w:tabs>
          <w:tab w:val="left" w:leader="underscore" w:pos="9639"/>
        </w:tabs>
        <w:spacing w:after="0" w:line="240" w:lineRule="auto"/>
        <w:jc w:val="both"/>
        <w:rPr>
          <w:rFonts w:cs="Calibri"/>
        </w:rPr>
      </w:pPr>
    </w:p>
    <w:p w14:paraId="433324F3" w14:textId="626DBDA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w:t>
      </w:r>
      <w:r w:rsidR="00E9132F" w:rsidRPr="00E9132F">
        <w:rPr>
          <w:rFonts w:cs="Calibri"/>
        </w:rPr>
        <w:t>Método de valuación de la inversión en acciones de Compañías subsidiarias no consolidadas y asociadas</w:t>
      </w:r>
      <w:r w:rsidRPr="00E74967">
        <w:rPr>
          <w:rFonts w:cs="Calibri"/>
        </w:rPr>
        <w:t>:</w:t>
      </w:r>
    </w:p>
    <w:p w14:paraId="1C1D647B" w14:textId="6648C5F7" w:rsidR="007D1E76" w:rsidRPr="00E74967" w:rsidRDefault="00DF28AC" w:rsidP="00CB41C4">
      <w:pPr>
        <w:tabs>
          <w:tab w:val="left" w:leader="underscore" w:pos="9639"/>
        </w:tabs>
        <w:spacing w:after="0" w:line="240" w:lineRule="auto"/>
        <w:jc w:val="both"/>
        <w:rPr>
          <w:rFonts w:cs="Calibri"/>
        </w:rPr>
      </w:pPr>
      <w:r>
        <w:rPr>
          <w:rFonts w:cs="Calibri"/>
        </w:rPr>
        <w:t>No aplica</w:t>
      </w:r>
    </w:p>
    <w:p w14:paraId="2EA4933C" w14:textId="77777777" w:rsidR="007D1E76" w:rsidRPr="00E74967" w:rsidRDefault="007D1E76" w:rsidP="00CB41C4">
      <w:pPr>
        <w:tabs>
          <w:tab w:val="left" w:leader="underscore" w:pos="9639"/>
        </w:tabs>
        <w:spacing w:after="0" w:line="240" w:lineRule="auto"/>
        <w:jc w:val="both"/>
        <w:rPr>
          <w:rFonts w:cs="Calibri"/>
        </w:rPr>
      </w:pPr>
    </w:p>
    <w:p w14:paraId="7AB1226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Sistema y método de valuación de inventarios y costo de lo vendido:</w:t>
      </w:r>
    </w:p>
    <w:p w14:paraId="788115A4" w14:textId="70DC7D99" w:rsidR="007D1E76" w:rsidRPr="00E74967" w:rsidRDefault="00DF28AC" w:rsidP="00CB41C4">
      <w:pPr>
        <w:tabs>
          <w:tab w:val="left" w:leader="underscore" w:pos="9639"/>
        </w:tabs>
        <w:spacing w:after="0" w:line="240" w:lineRule="auto"/>
        <w:jc w:val="both"/>
        <w:rPr>
          <w:rFonts w:cs="Calibri"/>
        </w:rPr>
      </w:pPr>
      <w:r>
        <w:rPr>
          <w:rFonts w:cs="Calibri"/>
        </w:rPr>
        <w:t>No aplica</w:t>
      </w:r>
    </w:p>
    <w:p w14:paraId="0B282127" w14:textId="77777777" w:rsidR="007D1E76" w:rsidRPr="00E74967" w:rsidRDefault="007D1E76" w:rsidP="00CB41C4">
      <w:pPr>
        <w:tabs>
          <w:tab w:val="left" w:leader="underscore" w:pos="9639"/>
        </w:tabs>
        <w:spacing w:after="0" w:line="240" w:lineRule="auto"/>
        <w:jc w:val="both"/>
        <w:rPr>
          <w:rFonts w:cs="Calibri"/>
        </w:rPr>
      </w:pPr>
    </w:p>
    <w:p w14:paraId="1D8C904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Beneficios a empleados: revelar el cálculo de la reserva actuarial, valor presente de los ingresos esperados comparado con el valor presente de la estimación de gastos tanto de los beneficiarios actuales como futuros:</w:t>
      </w:r>
    </w:p>
    <w:p w14:paraId="3488266C" w14:textId="13F02A76" w:rsidR="007D1E76" w:rsidRPr="00E74967" w:rsidRDefault="00DF28AC" w:rsidP="00CB41C4">
      <w:pPr>
        <w:tabs>
          <w:tab w:val="left" w:leader="underscore" w:pos="9639"/>
        </w:tabs>
        <w:spacing w:after="0" w:line="240" w:lineRule="auto"/>
        <w:jc w:val="both"/>
        <w:rPr>
          <w:rFonts w:cs="Calibri"/>
        </w:rPr>
      </w:pPr>
      <w:r>
        <w:rPr>
          <w:rFonts w:cs="Calibri"/>
        </w:rPr>
        <w:t>No aplica</w:t>
      </w:r>
    </w:p>
    <w:p w14:paraId="6636D845" w14:textId="77777777" w:rsidR="007D1E76" w:rsidRPr="00E74967" w:rsidRDefault="007D1E76" w:rsidP="00CB41C4">
      <w:pPr>
        <w:tabs>
          <w:tab w:val="left" w:leader="underscore" w:pos="9639"/>
        </w:tabs>
        <w:spacing w:after="0" w:line="240" w:lineRule="auto"/>
        <w:jc w:val="both"/>
        <w:rPr>
          <w:rFonts w:cs="Calibri"/>
        </w:rPr>
      </w:pPr>
    </w:p>
    <w:p w14:paraId="6113C38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Provisiones: objetivo de su creación, monto y plazo:</w:t>
      </w:r>
    </w:p>
    <w:p w14:paraId="4E40100B" w14:textId="18D6638E" w:rsidR="007D1E76" w:rsidRPr="00E74967" w:rsidRDefault="00DF28AC" w:rsidP="00CB41C4">
      <w:pPr>
        <w:tabs>
          <w:tab w:val="left" w:leader="underscore" w:pos="9639"/>
        </w:tabs>
        <w:spacing w:after="0" w:line="240" w:lineRule="auto"/>
        <w:jc w:val="both"/>
        <w:rPr>
          <w:rFonts w:cs="Calibri"/>
        </w:rPr>
      </w:pPr>
      <w:r>
        <w:rPr>
          <w:rFonts w:cs="Calibri"/>
        </w:rPr>
        <w:t>No aplica</w:t>
      </w:r>
    </w:p>
    <w:p w14:paraId="0AB44A38" w14:textId="77777777" w:rsidR="007D1E76" w:rsidRPr="00E74967" w:rsidRDefault="007D1E76" w:rsidP="00CB41C4">
      <w:pPr>
        <w:tabs>
          <w:tab w:val="left" w:leader="underscore" w:pos="9639"/>
        </w:tabs>
        <w:spacing w:after="0" w:line="240" w:lineRule="auto"/>
        <w:jc w:val="both"/>
        <w:rPr>
          <w:rFonts w:cs="Calibri"/>
        </w:rPr>
      </w:pPr>
    </w:p>
    <w:p w14:paraId="4190001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Reservas: objetivo de su creación, monto y plazo:</w:t>
      </w:r>
    </w:p>
    <w:p w14:paraId="4C613419" w14:textId="13D4484E" w:rsidR="007D1E76" w:rsidRPr="00E74967" w:rsidRDefault="00DF28AC" w:rsidP="00CB41C4">
      <w:pPr>
        <w:tabs>
          <w:tab w:val="left" w:leader="underscore" w:pos="9639"/>
        </w:tabs>
        <w:spacing w:after="0" w:line="240" w:lineRule="auto"/>
        <w:jc w:val="both"/>
        <w:rPr>
          <w:rFonts w:cs="Calibri"/>
        </w:rPr>
      </w:pPr>
      <w:r>
        <w:rPr>
          <w:rFonts w:cs="Calibri"/>
        </w:rPr>
        <w:t>No aplica</w:t>
      </w:r>
    </w:p>
    <w:p w14:paraId="48187B92" w14:textId="77777777" w:rsidR="007D1E76" w:rsidRPr="00E74967" w:rsidRDefault="007D1E76" w:rsidP="00CB41C4">
      <w:pPr>
        <w:tabs>
          <w:tab w:val="left" w:leader="underscore" w:pos="9639"/>
        </w:tabs>
        <w:spacing w:after="0" w:line="240" w:lineRule="auto"/>
        <w:jc w:val="both"/>
        <w:rPr>
          <w:rFonts w:cs="Calibri"/>
        </w:rPr>
      </w:pPr>
    </w:p>
    <w:p w14:paraId="6E497DB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Cambios en políticas contables y corrección de errores junto con la revelación de los efectos que se tendrá en la información financiera del ente público, ya sea retrospectivos o prospectivos:</w:t>
      </w:r>
    </w:p>
    <w:p w14:paraId="14696C24" w14:textId="5EC3443D" w:rsidR="007D1E76" w:rsidRPr="00E74967" w:rsidRDefault="00DF28AC" w:rsidP="00CB41C4">
      <w:pPr>
        <w:tabs>
          <w:tab w:val="left" w:leader="underscore" w:pos="9639"/>
        </w:tabs>
        <w:spacing w:after="0" w:line="240" w:lineRule="auto"/>
        <w:jc w:val="both"/>
        <w:rPr>
          <w:rFonts w:cs="Calibri"/>
        </w:rPr>
      </w:pPr>
      <w:r>
        <w:rPr>
          <w:rFonts w:cs="Calibri"/>
        </w:rPr>
        <w:t>No aplica</w:t>
      </w:r>
    </w:p>
    <w:p w14:paraId="2B6668A3" w14:textId="77777777" w:rsidR="007D1E76" w:rsidRPr="00E74967" w:rsidRDefault="007D1E76" w:rsidP="00CB41C4">
      <w:pPr>
        <w:tabs>
          <w:tab w:val="left" w:leader="underscore" w:pos="9639"/>
        </w:tabs>
        <w:spacing w:after="0" w:line="240" w:lineRule="auto"/>
        <w:jc w:val="both"/>
        <w:rPr>
          <w:rFonts w:cs="Calibri"/>
        </w:rPr>
      </w:pPr>
    </w:p>
    <w:p w14:paraId="12C8FA9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i)</w:t>
      </w:r>
      <w:r w:rsidRPr="00E74967">
        <w:rPr>
          <w:rFonts w:cs="Calibri"/>
        </w:rPr>
        <w:t xml:space="preserve"> Reclasificaciones: Se deben revelar todos aquellos movimientos entre cuentas por efectos de cambios en los tipos de operaciones:</w:t>
      </w:r>
    </w:p>
    <w:p w14:paraId="4342A110" w14:textId="2C890F09" w:rsidR="007D1E76" w:rsidRPr="00E74967" w:rsidRDefault="00DF28AC" w:rsidP="00CB41C4">
      <w:pPr>
        <w:tabs>
          <w:tab w:val="left" w:leader="underscore" w:pos="9639"/>
        </w:tabs>
        <w:spacing w:after="0" w:line="240" w:lineRule="auto"/>
        <w:jc w:val="both"/>
        <w:rPr>
          <w:rFonts w:cs="Calibri"/>
        </w:rPr>
      </w:pPr>
      <w:r>
        <w:rPr>
          <w:rFonts w:cs="Calibri"/>
        </w:rPr>
        <w:t>No aplica</w:t>
      </w:r>
    </w:p>
    <w:p w14:paraId="6E29C8B6" w14:textId="77777777" w:rsidR="007D1E76" w:rsidRPr="00E74967" w:rsidRDefault="007D1E76" w:rsidP="00CB41C4">
      <w:pPr>
        <w:tabs>
          <w:tab w:val="left" w:leader="underscore" w:pos="9639"/>
        </w:tabs>
        <w:spacing w:after="0" w:line="240" w:lineRule="auto"/>
        <w:jc w:val="both"/>
        <w:rPr>
          <w:rFonts w:cs="Calibri"/>
        </w:rPr>
      </w:pPr>
    </w:p>
    <w:p w14:paraId="5405EF8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j)</w:t>
      </w:r>
      <w:r w:rsidRPr="00E74967">
        <w:rPr>
          <w:rFonts w:cs="Calibri"/>
        </w:rPr>
        <w:t xml:space="preserve"> Depuración y cancelación de saldos:</w:t>
      </w:r>
    </w:p>
    <w:p w14:paraId="02C28F78" w14:textId="747813AA" w:rsidR="007D1E76" w:rsidRPr="00E74967" w:rsidRDefault="00DF28AC" w:rsidP="00CB41C4">
      <w:pPr>
        <w:tabs>
          <w:tab w:val="left" w:leader="underscore" w:pos="9639"/>
        </w:tabs>
        <w:spacing w:after="0" w:line="240" w:lineRule="auto"/>
        <w:jc w:val="both"/>
        <w:rPr>
          <w:rFonts w:cs="Calibri"/>
        </w:rPr>
      </w:pPr>
      <w:r>
        <w:rPr>
          <w:rFonts w:cs="Calibri"/>
        </w:rPr>
        <w:t>No aplica</w:t>
      </w:r>
    </w:p>
    <w:p w14:paraId="7D06B360" w14:textId="77777777" w:rsidR="007D1E76" w:rsidRPr="00E74967" w:rsidRDefault="007D1E76" w:rsidP="00CB41C4">
      <w:pPr>
        <w:tabs>
          <w:tab w:val="left" w:leader="underscore" w:pos="9639"/>
        </w:tabs>
        <w:spacing w:after="0" w:line="240" w:lineRule="auto"/>
        <w:jc w:val="both"/>
        <w:rPr>
          <w:rFonts w:cs="Calibri"/>
        </w:rPr>
      </w:pPr>
    </w:p>
    <w:p w14:paraId="051C6058" w14:textId="77777777" w:rsidR="00E00323" w:rsidRPr="00E74967" w:rsidRDefault="00E00323" w:rsidP="00CB41C4">
      <w:pPr>
        <w:tabs>
          <w:tab w:val="left" w:leader="underscore" w:pos="9639"/>
        </w:tabs>
        <w:spacing w:after="0" w:line="240" w:lineRule="auto"/>
        <w:jc w:val="both"/>
        <w:rPr>
          <w:rFonts w:cs="Calibri"/>
        </w:rPr>
      </w:pPr>
    </w:p>
    <w:p w14:paraId="2CA8BAC1" w14:textId="16AB8AA7" w:rsidR="007D1E76" w:rsidRPr="000C3365" w:rsidRDefault="003E6C64" w:rsidP="000C3365">
      <w:pPr>
        <w:pStyle w:val="Ttulo2"/>
        <w:rPr>
          <w:rFonts w:asciiTheme="minorHAnsi" w:hAnsiTheme="minorHAnsi" w:cstheme="minorHAnsi"/>
          <w:b/>
          <w:color w:val="auto"/>
          <w:sz w:val="22"/>
        </w:rPr>
      </w:pPr>
      <w:bookmarkStart w:id="5" w:name="_Toc161472871"/>
      <w:r>
        <w:rPr>
          <w:rFonts w:asciiTheme="minorHAnsi" w:hAnsiTheme="minorHAnsi" w:cstheme="minorHAnsi"/>
          <w:b/>
          <w:color w:val="auto"/>
          <w:sz w:val="22"/>
        </w:rPr>
        <w:t>6</w:t>
      </w:r>
      <w:r w:rsidR="007D1E76" w:rsidRPr="000C3365">
        <w:rPr>
          <w:rFonts w:asciiTheme="minorHAnsi" w:hAnsiTheme="minorHAnsi" w:cstheme="minorHAnsi"/>
          <w:b/>
          <w:color w:val="auto"/>
          <w:sz w:val="22"/>
        </w:rPr>
        <w:t>. Posición en Moneda Extranjera y Pro</w:t>
      </w:r>
      <w:r w:rsidR="00E00323" w:rsidRPr="000C3365">
        <w:rPr>
          <w:rFonts w:asciiTheme="minorHAnsi" w:hAnsiTheme="minorHAnsi" w:cstheme="minorHAnsi"/>
          <w:b/>
          <w:color w:val="auto"/>
          <w:sz w:val="22"/>
        </w:rPr>
        <w:t>tección por Riesgo Cambiario:</w:t>
      </w:r>
      <w:bookmarkEnd w:id="5"/>
    </w:p>
    <w:p w14:paraId="60114D16" w14:textId="77777777" w:rsidR="007D1E76" w:rsidRPr="00E74967" w:rsidRDefault="007D1E76" w:rsidP="00CB41C4">
      <w:pPr>
        <w:tabs>
          <w:tab w:val="left" w:leader="underscore" w:pos="9639"/>
        </w:tabs>
        <w:spacing w:after="0" w:line="240" w:lineRule="auto"/>
        <w:jc w:val="both"/>
        <w:rPr>
          <w:rFonts w:cs="Calibri"/>
        </w:rPr>
      </w:pPr>
    </w:p>
    <w:p w14:paraId="12C73011"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7E8BC54D" w14:textId="77777777" w:rsidR="007D1E76" w:rsidRPr="00E74967" w:rsidRDefault="007D1E76" w:rsidP="00CB41C4">
      <w:pPr>
        <w:tabs>
          <w:tab w:val="left" w:leader="underscore" w:pos="9639"/>
        </w:tabs>
        <w:spacing w:after="0" w:line="240" w:lineRule="auto"/>
        <w:jc w:val="both"/>
        <w:rPr>
          <w:rFonts w:cs="Calibri"/>
        </w:rPr>
      </w:pPr>
    </w:p>
    <w:p w14:paraId="531D25F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Activos en moneda extranjera:</w:t>
      </w:r>
    </w:p>
    <w:p w14:paraId="20464C79" w14:textId="6C1459E7" w:rsidR="007D1E76" w:rsidRPr="00E74967" w:rsidRDefault="00DF28AC" w:rsidP="00CB41C4">
      <w:pPr>
        <w:tabs>
          <w:tab w:val="left" w:leader="underscore" w:pos="9639"/>
        </w:tabs>
        <w:spacing w:after="0" w:line="240" w:lineRule="auto"/>
        <w:jc w:val="both"/>
        <w:rPr>
          <w:rFonts w:cs="Calibri"/>
        </w:rPr>
      </w:pPr>
      <w:r>
        <w:rPr>
          <w:rFonts w:cs="Calibri"/>
        </w:rPr>
        <w:t>No aplica</w:t>
      </w:r>
    </w:p>
    <w:p w14:paraId="43F08C55" w14:textId="77777777" w:rsidR="007D1E76" w:rsidRPr="00E74967" w:rsidRDefault="007D1E76" w:rsidP="00CB41C4">
      <w:pPr>
        <w:tabs>
          <w:tab w:val="left" w:leader="underscore" w:pos="9639"/>
        </w:tabs>
        <w:spacing w:after="0" w:line="240" w:lineRule="auto"/>
        <w:jc w:val="both"/>
        <w:rPr>
          <w:rFonts w:cs="Calibri"/>
        </w:rPr>
      </w:pPr>
    </w:p>
    <w:p w14:paraId="7E44729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Pasivos en moneda extranjera:</w:t>
      </w:r>
    </w:p>
    <w:p w14:paraId="22EC0EC7" w14:textId="744D7269" w:rsidR="007D1E76" w:rsidRPr="00E74967" w:rsidRDefault="00DF28AC" w:rsidP="00CB41C4">
      <w:pPr>
        <w:tabs>
          <w:tab w:val="left" w:leader="underscore" w:pos="9639"/>
        </w:tabs>
        <w:spacing w:after="0" w:line="240" w:lineRule="auto"/>
        <w:jc w:val="both"/>
        <w:rPr>
          <w:rFonts w:cs="Calibri"/>
        </w:rPr>
      </w:pPr>
      <w:r>
        <w:rPr>
          <w:rFonts w:cs="Calibri"/>
        </w:rPr>
        <w:t>No aplica</w:t>
      </w:r>
    </w:p>
    <w:p w14:paraId="54FFA38F" w14:textId="77777777" w:rsidR="007D1E76" w:rsidRPr="00E74967" w:rsidRDefault="007D1E76" w:rsidP="00CB41C4">
      <w:pPr>
        <w:tabs>
          <w:tab w:val="left" w:leader="underscore" w:pos="9639"/>
        </w:tabs>
        <w:spacing w:after="0" w:line="240" w:lineRule="auto"/>
        <w:jc w:val="both"/>
        <w:rPr>
          <w:rFonts w:cs="Calibri"/>
        </w:rPr>
      </w:pPr>
    </w:p>
    <w:p w14:paraId="6E3298C9"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c) </w:t>
      </w:r>
      <w:r w:rsidRPr="00E74967">
        <w:rPr>
          <w:rFonts w:cs="Calibri"/>
        </w:rPr>
        <w:t>Posición en moneda extranjera:</w:t>
      </w:r>
    </w:p>
    <w:p w14:paraId="261C502E" w14:textId="3D091468" w:rsidR="007D1E76" w:rsidRPr="00E74967" w:rsidRDefault="00DF28AC" w:rsidP="00CB41C4">
      <w:pPr>
        <w:tabs>
          <w:tab w:val="left" w:leader="underscore" w:pos="9639"/>
        </w:tabs>
        <w:spacing w:after="0" w:line="240" w:lineRule="auto"/>
        <w:jc w:val="both"/>
        <w:rPr>
          <w:rFonts w:cs="Calibri"/>
        </w:rPr>
      </w:pPr>
      <w:r>
        <w:rPr>
          <w:rFonts w:cs="Calibri"/>
        </w:rPr>
        <w:t>No aplica</w:t>
      </w:r>
    </w:p>
    <w:p w14:paraId="273CC39D" w14:textId="77777777" w:rsidR="007D1E76" w:rsidRPr="00E74967" w:rsidRDefault="007D1E76" w:rsidP="00CB41C4">
      <w:pPr>
        <w:tabs>
          <w:tab w:val="left" w:leader="underscore" w:pos="9639"/>
        </w:tabs>
        <w:spacing w:after="0" w:line="240" w:lineRule="auto"/>
        <w:jc w:val="both"/>
        <w:rPr>
          <w:rFonts w:cs="Calibri"/>
        </w:rPr>
      </w:pPr>
    </w:p>
    <w:p w14:paraId="61291BC6"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Tipo de cambio:</w:t>
      </w:r>
    </w:p>
    <w:p w14:paraId="011B6E8C" w14:textId="2166A6DF" w:rsidR="007D1E76" w:rsidRPr="00E74967" w:rsidRDefault="00DF28AC" w:rsidP="00CB41C4">
      <w:pPr>
        <w:tabs>
          <w:tab w:val="left" w:leader="underscore" w:pos="9639"/>
        </w:tabs>
        <w:spacing w:after="0" w:line="240" w:lineRule="auto"/>
        <w:jc w:val="both"/>
        <w:rPr>
          <w:rFonts w:cs="Calibri"/>
        </w:rPr>
      </w:pPr>
      <w:r>
        <w:rPr>
          <w:rFonts w:cs="Calibri"/>
        </w:rPr>
        <w:t>No aplica</w:t>
      </w:r>
    </w:p>
    <w:p w14:paraId="146CAEC1" w14:textId="77777777" w:rsidR="007D1E76" w:rsidRPr="00E74967" w:rsidRDefault="007D1E76" w:rsidP="00CB41C4">
      <w:pPr>
        <w:tabs>
          <w:tab w:val="left" w:leader="underscore" w:pos="9639"/>
        </w:tabs>
        <w:spacing w:after="0" w:line="240" w:lineRule="auto"/>
        <w:jc w:val="both"/>
        <w:rPr>
          <w:rFonts w:cs="Calibri"/>
        </w:rPr>
      </w:pPr>
    </w:p>
    <w:p w14:paraId="2878D6F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Equivalente en moneda nacional:</w:t>
      </w:r>
    </w:p>
    <w:p w14:paraId="3EDA9CB4" w14:textId="2A2C1690" w:rsidR="007D1E76" w:rsidRPr="00E74967" w:rsidRDefault="00DF28AC" w:rsidP="00CB41C4">
      <w:pPr>
        <w:tabs>
          <w:tab w:val="left" w:leader="underscore" w:pos="9639"/>
        </w:tabs>
        <w:spacing w:after="0" w:line="240" w:lineRule="auto"/>
        <w:jc w:val="both"/>
        <w:rPr>
          <w:rFonts w:cs="Calibri"/>
        </w:rPr>
      </w:pPr>
      <w:r>
        <w:rPr>
          <w:rFonts w:cs="Calibri"/>
        </w:rPr>
        <w:t>No aplica</w:t>
      </w:r>
    </w:p>
    <w:p w14:paraId="63BA699C" w14:textId="77777777" w:rsidR="007D1E76" w:rsidRPr="00E74967" w:rsidRDefault="007D1E76" w:rsidP="00CB41C4">
      <w:pPr>
        <w:tabs>
          <w:tab w:val="left" w:leader="underscore" w:pos="9639"/>
        </w:tabs>
        <w:spacing w:after="0" w:line="240" w:lineRule="auto"/>
        <w:jc w:val="both"/>
        <w:rPr>
          <w:rFonts w:cs="Calibri"/>
        </w:rPr>
      </w:pPr>
    </w:p>
    <w:p w14:paraId="017281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 anterior por cada tipo de moneda extranjera que se encuentre en los rubros de activo y pasivo.</w:t>
      </w:r>
    </w:p>
    <w:p w14:paraId="20DD1BAE" w14:textId="4A4A65C9"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w:t>
      </w:r>
      <w:r w:rsidR="00D32331">
        <w:rPr>
          <w:rFonts w:cs="Calibri"/>
        </w:rPr>
        <w:t>,</w:t>
      </w:r>
      <w:r w:rsidRPr="00E74967">
        <w:rPr>
          <w:rFonts w:cs="Calibri"/>
        </w:rPr>
        <w:t xml:space="preserve"> se informará sobre los métodos de protección de riesgo por vari</w:t>
      </w:r>
      <w:r w:rsidR="00E00323" w:rsidRPr="00E74967">
        <w:rPr>
          <w:rFonts w:cs="Calibri"/>
        </w:rPr>
        <w:t>aciones en el tipo de cambio.</w:t>
      </w:r>
    </w:p>
    <w:p w14:paraId="5D7BA233" w14:textId="77777777" w:rsidR="007D1E76" w:rsidRPr="00E74967" w:rsidRDefault="007D1E76" w:rsidP="00CB41C4">
      <w:pPr>
        <w:tabs>
          <w:tab w:val="left" w:leader="underscore" w:pos="9639"/>
        </w:tabs>
        <w:spacing w:after="0" w:line="240" w:lineRule="auto"/>
        <w:jc w:val="both"/>
        <w:rPr>
          <w:rFonts w:cs="Calibri"/>
        </w:rPr>
      </w:pPr>
    </w:p>
    <w:p w14:paraId="6B0A6883" w14:textId="77777777" w:rsidR="007D1E76" w:rsidRPr="00E74967" w:rsidRDefault="007D1E76" w:rsidP="00CB41C4">
      <w:pPr>
        <w:tabs>
          <w:tab w:val="left" w:leader="underscore" w:pos="9639"/>
        </w:tabs>
        <w:spacing w:after="0" w:line="240" w:lineRule="auto"/>
        <w:jc w:val="both"/>
        <w:rPr>
          <w:rFonts w:cs="Calibri"/>
        </w:rPr>
      </w:pPr>
    </w:p>
    <w:p w14:paraId="095853FE" w14:textId="75928022" w:rsidR="007D1E76" w:rsidRPr="000C3365" w:rsidRDefault="0064059E" w:rsidP="000C3365">
      <w:pPr>
        <w:pStyle w:val="Ttulo2"/>
        <w:rPr>
          <w:rFonts w:asciiTheme="minorHAnsi" w:hAnsiTheme="minorHAnsi" w:cstheme="minorHAnsi"/>
          <w:b/>
          <w:color w:val="auto"/>
          <w:sz w:val="22"/>
        </w:rPr>
      </w:pPr>
      <w:bookmarkStart w:id="6" w:name="_Toc161472872"/>
      <w:r>
        <w:rPr>
          <w:rFonts w:asciiTheme="minorHAnsi" w:hAnsiTheme="minorHAnsi" w:cstheme="minorHAnsi"/>
          <w:b/>
          <w:color w:val="auto"/>
          <w:sz w:val="22"/>
        </w:rPr>
        <w:lastRenderedPageBreak/>
        <w:t>7</w:t>
      </w:r>
      <w:r w:rsidR="007D1E76" w:rsidRPr="000C3365">
        <w:rPr>
          <w:rFonts w:asciiTheme="minorHAnsi" w:hAnsiTheme="minorHAnsi" w:cstheme="minorHAnsi"/>
          <w:b/>
          <w:color w:val="auto"/>
          <w:sz w:val="22"/>
        </w:rPr>
        <w:t xml:space="preserve">. </w:t>
      </w:r>
      <w:r w:rsidR="00E00323" w:rsidRPr="000C3365">
        <w:rPr>
          <w:rFonts w:asciiTheme="minorHAnsi" w:hAnsiTheme="minorHAnsi" w:cstheme="minorHAnsi"/>
          <w:b/>
          <w:color w:val="auto"/>
          <w:sz w:val="22"/>
        </w:rPr>
        <w:t>Reporte Analítico del Activo:</w:t>
      </w:r>
      <w:bookmarkEnd w:id="6"/>
    </w:p>
    <w:p w14:paraId="1C9AE80E" w14:textId="77777777" w:rsidR="007D1E76" w:rsidRPr="00E74967" w:rsidRDefault="007D1E76" w:rsidP="00CB41C4">
      <w:pPr>
        <w:tabs>
          <w:tab w:val="left" w:leader="underscore" w:pos="9639"/>
        </w:tabs>
        <w:spacing w:after="0" w:line="240" w:lineRule="auto"/>
        <w:jc w:val="both"/>
        <w:rPr>
          <w:rFonts w:cs="Calibri"/>
        </w:rPr>
      </w:pPr>
    </w:p>
    <w:p w14:paraId="7DC51E1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Debe mostrar la siguien</w:t>
      </w:r>
      <w:r w:rsidR="00E00323" w:rsidRPr="00E74967">
        <w:rPr>
          <w:rFonts w:cs="Calibri"/>
        </w:rPr>
        <w:t>te información:</w:t>
      </w:r>
    </w:p>
    <w:p w14:paraId="0E1FB990" w14:textId="77777777" w:rsidR="007D1E76" w:rsidRPr="00E74967" w:rsidRDefault="007D1E76" w:rsidP="00CB41C4">
      <w:pPr>
        <w:tabs>
          <w:tab w:val="left" w:leader="underscore" w:pos="9639"/>
        </w:tabs>
        <w:spacing w:after="0" w:line="240" w:lineRule="auto"/>
        <w:jc w:val="both"/>
        <w:rPr>
          <w:rFonts w:cs="Calibri"/>
        </w:rPr>
      </w:pPr>
    </w:p>
    <w:p w14:paraId="721E8A1F" w14:textId="09BA8E02"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w:t>
      </w:r>
      <w:r w:rsidR="00ED7AA0" w:rsidRPr="00ED7AA0">
        <w:rPr>
          <w:rFonts w:cs="Calibri"/>
        </w:rPr>
        <w:t>Vida útil, porcentajes de depreciación y amortización utilizados en los diferentes tipos de activos, o el importe de las pérdidas por deterioro reconocidas</w:t>
      </w:r>
      <w:r w:rsidRPr="00E74967">
        <w:rPr>
          <w:rFonts w:cs="Calibri"/>
        </w:rPr>
        <w:t>:</w:t>
      </w:r>
    </w:p>
    <w:p w14:paraId="4DE0FF06" w14:textId="77777777" w:rsidR="00DF28AC" w:rsidRPr="00E74967" w:rsidRDefault="00DF28AC" w:rsidP="00DF28AC">
      <w:pPr>
        <w:tabs>
          <w:tab w:val="left" w:leader="underscore" w:pos="9639"/>
        </w:tabs>
        <w:spacing w:after="0" w:line="240" w:lineRule="auto"/>
        <w:jc w:val="both"/>
        <w:rPr>
          <w:rFonts w:cs="Calibri"/>
        </w:rPr>
      </w:pPr>
      <w:r>
        <w:rPr>
          <w:rFonts w:cs="Calibri"/>
        </w:rPr>
        <w:t>Parámetros de estimación de vida útil publicados en el DOF por el CONAC.</w:t>
      </w:r>
    </w:p>
    <w:p w14:paraId="18A5CC0A" w14:textId="24E3AFEE" w:rsidR="007D1E76" w:rsidRPr="00E74967" w:rsidRDefault="007D1E76" w:rsidP="00CB41C4">
      <w:pPr>
        <w:tabs>
          <w:tab w:val="left" w:leader="underscore" w:pos="9639"/>
        </w:tabs>
        <w:spacing w:after="0" w:line="240" w:lineRule="auto"/>
        <w:jc w:val="both"/>
        <w:rPr>
          <w:rFonts w:cs="Calibri"/>
        </w:rPr>
      </w:pPr>
    </w:p>
    <w:p w14:paraId="2B914A04" w14:textId="77777777" w:rsidR="007D1E76" w:rsidRPr="00E74967" w:rsidRDefault="007D1E76" w:rsidP="00CB41C4">
      <w:pPr>
        <w:tabs>
          <w:tab w:val="left" w:leader="underscore" w:pos="9639"/>
        </w:tabs>
        <w:spacing w:after="0" w:line="240" w:lineRule="auto"/>
        <w:jc w:val="both"/>
        <w:rPr>
          <w:rFonts w:cs="Calibri"/>
        </w:rPr>
      </w:pPr>
    </w:p>
    <w:p w14:paraId="7FD13FA2" w14:textId="4685F103"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w:t>
      </w:r>
      <w:r w:rsidR="00AA2768" w:rsidRPr="00AA2768">
        <w:rPr>
          <w:rFonts w:cs="Calibri"/>
        </w:rPr>
        <w:t>Cambios en el porcentaje de depreciación y amortización y en el valor de los activos ocasionado por deterioro</w:t>
      </w:r>
      <w:r w:rsidRPr="00E74967">
        <w:rPr>
          <w:rFonts w:cs="Calibri"/>
        </w:rPr>
        <w:t>:</w:t>
      </w:r>
    </w:p>
    <w:p w14:paraId="7C18ACC1" w14:textId="77777777" w:rsidR="00DF28AC" w:rsidRPr="00E74967" w:rsidRDefault="00DF28AC" w:rsidP="00DF28AC">
      <w:pPr>
        <w:tabs>
          <w:tab w:val="left" w:leader="underscore" w:pos="9639"/>
        </w:tabs>
        <w:spacing w:after="0" w:line="240" w:lineRule="auto"/>
        <w:jc w:val="both"/>
        <w:rPr>
          <w:rFonts w:cs="Calibri"/>
        </w:rPr>
      </w:pPr>
      <w:r>
        <w:rPr>
          <w:rFonts w:cs="Calibri"/>
        </w:rPr>
        <w:t>No aplica.</w:t>
      </w:r>
    </w:p>
    <w:p w14:paraId="59A0596F" w14:textId="77777777" w:rsidR="007D1E76" w:rsidRPr="00E74967" w:rsidRDefault="007D1E76" w:rsidP="00CB41C4">
      <w:pPr>
        <w:tabs>
          <w:tab w:val="left" w:leader="underscore" w:pos="9639"/>
        </w:tabs>
        <w:spacing w:after="0" w:line="240" w:lineRule="auto"/>
        <w:jc w:val="both"/>
        <w:rPr>
          <w:rFonts w:cs="Calibri"/>
        </w:rPr>
      </w:pPr>
    </w:p>
    <w:p w14:paraId="7793D3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Importe de los gastos capitalizados en el ejercicio, tanto financieros como de investigación y desarrollo:</w:t>
      </w:r>
    </w:p>
    <w:p w14:paraId="59A85668" w14:textId="77777777" w:rsidR="00DF28AC" w:rsidRPr="00E74967" w:rsidRDefault="00DF28AC" w:rsidP="00DF28AC">
      <w:pPr>
        <w:tabs>
          <w:tab w:val="left" w:leader="underscore" w:pos="9639"/>
        </w:tabs>
        <w:spacing w:after="0" w:line="240" w:lineRule="auto"/>
        <w:jc w:val="both"/>
        <w:rPr>
          <w:rFonts w:cs="Calibri"/>
        </w:rPr>
      </w:pPr>
      <w:r>
        <w:rPr>
          <w:rFonts w:cs="Calibri"/>
        </w:rPr>
        <w:t>No aplica.</w:t>
      </w:r>
    </w:p>
    <w:p w14:paraId="389FC7C1" w14:textId="77777777" w:rsidR="007D1E76" w:rsidRPr="00E74967" w:rsidRDefault="007D1E76" w:rsidP="00CB41C4">
      <w:pPr>
        <w:tabs>
          <w:tab w:val="left" w:leader="underscore" w:pos="9639"/>
        </w:tabs>
        <w:spacing w:after="0" w:line="240" w:lineRule="auto"/>
        <w:jc w:val="both"/>
        <w:rPr>
          <w:rFonts w:cs="Calibri"/>
        </w:rPr>
      </w:pPr>
    </w:p>
    <w:p w14:paraId="64BF17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Rie</w:t>
      </w:r>
      <w:r w:rsidR="001973A2" w:rsidRPr="00E74967">
        <w:rPr>
          <w:rFonts w:cs="Calibri"/>
        </w:rPr>
        <w:t>s</w:t>
      </w:r>
      <w:r w:rsidRPr="00E74967">
        <w:rPr>
          <w:rFonts w:cs="Calibri"/>
        </w:rPr>
        <w:t>gos por tipo de cambio o tipo de interés de las inversiones financieras:</w:t>
      </w:r>
    </w:p>
    <w:p w14:paraId="2A07BC02" w14:textId="77777777" w:rsidR="00DF28AC" w:rsidRPr="00E74967" w:rsidRDefault="00DF28AC" w:rsidP="00DF28AC">
      <w:pPr>
        <w:tabs>
          <w:tab w:val="left" w:leader="underscore" w:pos="9639"/>
        </w:tabs>
        <w:spacing w:after="0" w:line="240" w:lineRule="auto"/>
        <w:jc w:val="both"/>
        <w:rPr>
          <w:rFonts w:cs="Calibri"/>
        </w:rPr>
      </w:pPr>
      <w:r>
        <w:rPr>
          <w:rFonts w:cs="Calibri"/>
        </w:rPr>
        <w:t>No aplica.</w:t>
      </w:r>
    </w:p>
    <w:p w14:paraId="1883BF45" w14:textId="77777777" w:rsidR="007D1E76" w:rsidRPr="00E74967" w:rsidRDefault="007D1E76" w:rsidP="00CB41C4">
      <w:pPr>
        <w:tabs>
          <w:tab w:val="left" w:leader="underscore" w:pos="9639"/>
        </w:tabs>
        <w:spacing w:after="0" w:line="240" w:lineRule="auto"/>
        <w:jc w:val="both"/>
        <w:rPr>
          <w:rFonts w:cs="Calibri"/>
        </w:rPr>
      </w:pPr>
    </w:p>
    <w:p w14:paraId="114D816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Valor activado en el ejercicio de los bienes construidos por la entidad:</w:t>
      </w:r>
    </w:p>
    <w:p w14:paraId="05C4659B" w14:textId="77777777" w:rsidR="00DF28AC" w:rsidRPr="00E74967" w:rsidRDefault="00DF28AC" w:rsidP="00DF28AC">
      <w:pPr>
        <w:tabs>
          <w:tab w:val="left" w:leader="underscore" w:pos="9639"/>
        </w:tabs>
        <w:spacing w:after="0" w:line="240" w:lineRule="auto"/>
        <w:jc w:val="both"/>
        <w:rPr>
          <w:rFonts w:cs="Calibri"/>
        </w:rPr>
      </w:pPr>
      <w:r>
        <w:rPr>
          <w:rFonts w:cs="Calibri"/>
        </w:rPr>
        <w:t>No aplica.</w:t>
      </w:r>
    </w:p>
    <w:p w14:paraId="2E17CB0A" w14:textId="77777777" w:rsidR="007D1E76" w:rsidRPr="00E74967" w:rsidRDefault="007D1E76" w:rsidP="00CB41C4">
      <w:pPr>
        <w:tabs>
          <w:tab w:val="left" w:leader="underscore" w:pos="9639"/>
        </w:tabs>
        <w:spacing w:after="0" w:line="240" w:lineRule="auto"/>
        <w:jc w:val="both"/>
        <w:rPr>
          <w:rFonts w:cs="Calibri"/>
          <w:b/>
        </w:rPr>
      </w:pPr>
    </w:p>
    <w:p w14:paraId="61D4FD0C"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5A7AACB8" w14:textId="77777777" w:rsidR="00DF28AC" w:rsidRPr="00E74967" w:rsidRDefault="00DF28AC" w:rsidP="00DF28AC">
      <w:pPr>
        <w:tabs>
          <w:tab w:val="left" w:leader="underscore" w:pos="9639"/>
        </w:tabs>
        <w:spacing w:after="0" w:line="240" w:lineRule="auto"/>
        <w:jc w:val="both"/>
        <w:rPr>
          <w:rFonts w:cs="Calibri"/>
        </w:rPr>
      </w:pPr>
      <w:r>
        <w:rPr>
          <w:rFonts w:cs="Calibri"/>
        </w:rPr>
        <w:t>No aplica.</w:t>
      </w:r>
    </w:p>
    <w:p w14:paraId="6FD1B4E4" w14:textId="77777777" w:rsidR="007D1E76" w:rsidRPr="00E74967" w:rsidRDefault="007D1E76" w:rsidP="00CB41C4">
      <w:pPr>
        <w:tabs>
          <w:tab w:val="left" w:leader="underscore" w:pos="9639"/>
        </w:tabs>
        <w:spacing w:after="0" w:line="240" w:lineRule="auto"/>
        <w:jc w:val="both"/>
        <w:rPr>
          <w:rFonts w:cs="Calibri"/>
        </w:rPr>
      </w:pPr>
    </w:p>
    <w:p w14:paraId="5B1593C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Desmantelamiento de Activos, procedimientos, implicaciones, efectos contables:</w:t>
      </w:r>
    </w:p>
    <w:p w14:paraId="2F40FEA3" w14:textId="77777777" w:rsidR="00DF28AC" w:rsidRPr="00E74967" w:rsidRDefault="00DF28AC" w:rsidP="00DF28AC">
      <w:pPr>
        <w:tabs>
          <w:tab w:val="left" w:leader="underscore" w:pos="9639"/>
        </w:tabs>
        <w:spacing w:after="0" w:line="240" w:lineRule="auto"/>
        <w:jc w:val="both"/>
        <w:rPr>
          <w:rFonts w:cs="Calibri"/>
        </w:rPr>
      </w:pPr>
      <w:r>
        <w:rPr>
          <w:rFonts w:cs="Calibri"/>
        </w:rPr>
        <w:t>No aplica.</w:t>
      </w:r>
    </w:p>
    <w:p w14:paraId="46AC9102" w14:textId="77777777" w:rsidR="007D1E76" w:rsidRPr="00E74967" w:rsidRDefault="007D1E76" w:rsidP="00CB41C4">
      <w:pPr>
        <w:tabs>
          <w:tab w:val="left" w:leader="underscore" w:pos="9639"/>
        </w:tabs>
        <w:spacing w:after="0" w:line="240" w:lineRule="auto"/>
        <w:jc w:val="both"/>
        <w:rPr>
          <w:rFonts w:cs="Calibri"/>
        </w:rPr>
      </w:pPr>
    </w:p>
    <w:p w14:paraId="6543D74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Administración de activos; planeación con el objetivo de que el ente los utilice de manera más efectiva:</w:t>
      </w:r>
    </w:p>
    <w:p w14:paraId="6B758D5A" w14:textId="77777777" w:rsidR="00DF28AC" w:rsidRPr="00E74967" w:rsidRDefault="00DF28AC" w:rsidP="00DF28AC">
      <w:pPr>
        <w:tabs>
          <w:tab w:val="left" w:leader="underscore" w:pos="9639"/>
        </w:tabs>
        <w:spacing w:after="0" w:line="240" w:lineRule="auto"/>
        <w:jc w:val="both"/>
        <w:rPr>
          <w:rFonts w:cs="Calibri"/>
        </w:rPr>
      </w:pPr>
      <w:r>
        <w:rPr>
          <w:rFonts w:cs="Calibri"/>
        </w:rPr>
        <w:t>No aplica.</w:t>
      </w:r>
    </w:p>
    <w:p w14:paraId="23376542" w14:textId="77777777" w:rsidR="005E231E" w:rsidRPr="00E74967" w:rsidRDefault="005E231E" w:rsidP="00CB41C4">
      <w:pPr>
        <w:tabs>
          <w:tab w:val="left" w:leader="underscore" w:pos="9639"/>
        </w:tabs>
        <w:spacing w:after="0" w:line="240" w:lineRule="auto"/>
        <w:jc w:val="both"/>
        <w:rPr>
          <w:rFonts w:cs="Calibri"/>
        </w:rPr>
      </w:pPr>
    </w:p>
    <w:p w14:paraId="1F344FA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deben incluir las explicaciones de las principales variaciones en el activo, en cua</w:t>
      </w:r>
      <w:r w:rsidR="005E231E" w:rsidRPr="00E74967">
        <w:rPr>
          <w:rFonts w:cs="Calibri"/>
        </w:rPr>
        <w:t>dros comparativos como sigue:</w:t>
      </w:r>
    </w:p>
    <w:p w14:paraId="34E04F66" w14:textId="77777777" w:rsidR="007D1E76" w:rsidRPr="00E74967" w:rsidRDefault="007D1E76" w:rsidP="00CB41C4">
      <w:pPr>
        <w:tabs>
          <w:tab w:val="left" w:leader="underscore" w:pos="9639"/>
        </w:tabs>
        <w:spacing w:after="0" w:line="240" w:lineRule="auto"/>
        <w:jc w:val="both"/>
        <w:rPr>
          <w:rFonts w:cs="Calibri"/>
        </w:rPr>
      </w:pPr>
    </w:p>
    <w:p w14:paraId="1C52C9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Inversiones en valores:</w:t>
      </w:r>
    </w:p>
    <w:p w14:paraId="17BCA33E" w14:textId="77777777" w:rsidR="00DF28AC" w:rsidRPr="00E74967" w:rsidRDefault="00DF28AC" w:rsidP="00DF28AC">
      <w:pPr>
        <w:tabs>
          <w:tab w:val="left" w:leader="underscore" w:pos="9639"/>
        </w:tabs>
        <w:spacing w:after="0" w:line="240" w:lineRule="auto"/>
        <w:jc w:val="both"/>
        <w:rPr>
          <w:rFonts w:cs="Calibri"/>
        </w:rPr>
      </w:pPr>
      <w:r>
        <w:rPr>
          <w:rFonts w:cs="Calibri"/>
        </w:rPr>
        <w:t>No aplica.</w:t>
      </w:r>
    </w:p>
    <w:p w14:paraId="47FAE4D3" w14:textId="77777777" w:rsidR="007D1E76" w:rsidRPr="00E74967" w:rsidRDefault="007D1E76" w:rsidP="00CB41C4">
      <w:pPr>
        <w:tabs>
          <w:tab w:val="left" w:leader="underscore" w:pos="9639"/>
        </w:tabs>
        <w:spacing w:after="0" w:line="240" w:lineRule="auto"/>
        <w:jc w:val="both"/>
        <w:rPr>
          <w:rFonts w:cs="Calibri"/>
        </w:rPr>
      </w:pPr>
    </w:p>
    <w:p w14:paraId="7F294F69" w14:textId="7D9621E6"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Patrimonio de Organismos </w:t>
      </w:r>
      <w:r w:rsidR="00B073DE">
        <w:rPr>
          <w:rFonts w:cs="Calibri"/>
        </w:rPr>
        <w:t>D</w:t>
      </w:r>
      <w:r w:rsidRPr="00E74967">
        <w:rPr>
          <w:rFonts w:cs="Calibri"/>
        </w:rPr>
        <w:t>escentralizados de Control Presupuestario Indirecto:</w:t>
      </w:r>
    </w:p>
    <w:p w14:paraId="3ACF4A94" w14:textId="77777777" w:rsidR="00DF28AC" w:rsidRPr="00E74967" w:rsidRDefault="00DF28AC" w:rsidP="00DF28AC">
      <w:pPr>
        <w:tabs>
          <w:tab w:val="left" w:leader="underscore" w:pos="9639"/>
        </w:tabs>
        <w:spacing w:after="0" w:line="240" w:lineRule="auto"/>
        <w:jc w:val="both"/>
        <w:rPr>
          <w:rFonts w:cs="Calibri"/>
        </w:rPr>
      </w:pPr>
      <w:r>
        <w:rPr>
          <w:rFonts w:cs="Calibri"/>
        </w:rPr>
        <w:t>No aplica.</w:t>
      </w:r>
    </w:p>
    <w:p w14:paraId="7F76C39C" w14:textId="77777777" w:rsidR="007D1E76" w:rsidRPr="00E74967" w:rsidRDefault="007D1E76" w:rsidP="00CB41C4">
      <w:pPr>
        <w:tabs>
          <w:tab w:val="left" w:leader="underscore" w:pos="9639"/>
        </w:tabs>
        <w:spacing w:after="0" w:line="240" w:lineRule="auto"/>
        <w:jc w:val="both"/>
        <w:rPr>
          <w:rFonts w:cs="Calibri"/>
        </w:rPr>
      </w:pPr>
    </w:p>
    <w:p w14:paraId="0A3B41E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Inversiones en empresas de participación mayoritaria:</w:t>
      </w:r>
    </w:p>
    <w:p w14:paraId="3D6CED6D" w14:textId="77777777" w:rsidR="00DF28AC" w:rsidRPr="00E74967" w:rsidRDefault="00DF28AC" w:rsidP="00DF28AC">
      <w:pPr>
        <w:tabs>
          <w:tab w:val="left" w:leader="underscore" w:pos="9639"/>
        </w:tabs>
        <w:spacing w:after="0" w:line="240" w:lineRule="auto"/>
        <w:jc w:val="both"/>
        <w:rPr>
          <w:rFonts w:cs="Calibri"/>
        </w:rPr>
      </w:pPr>
      <w:r>
        <w:rPr>
          <w:rFonts w:cs="Calibri"/>
        </w:rPr>
        <w:t>No aplica.</w:t>
      </w:r>
    </w:p>
    <w:p w14:paraId="5F9218F7" w14:textId="77777777" w:rsidR="007D1E76" w:rsidRPr="00E74967" w:rsidRDefault="007D1E76" w:rsidP="00CB41C4">
      <w:pPr>
        <w:tabs>
          <w:tab w:val="left" w:leader="underscore" w:pos="9639"/>
        </w:tabs>
        <w:spacing w:after="0" w:line="240" w:lineRule="auto"/>
        <w:jc w:val="both"/>
        <w:rPr>
          <w:rFonts w:cs="Calibri"/>
        </w:rPr>
      </w:pPr>
    </w:p>
    <w:p w14:paraId="02D4B80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Inversiones en empresas de participación minoritaria:</w:t>
      </w:r>
    </w:p>
    <w:p w14:paraId="16DD4A63" w14:textId="77777777" w:rsidR="00DF28AC" w:rsidRPr="00E74967" w:rsidRDefault="00DF28AC" w:rsidP="00DF28AC">
      <w:pPr>
        <w:tabs>
          <w:tab w:val="left" w:leader="underscore" w:pos="9639"/>
        </w:tabs>
        <w:spacing w:after="0" w:line="240" w:lineRule="auto"/>
        <w:jc w:val="both"/>
        <w:rPr>
          <w:rFonts w:cs="Calibri"/>
        </w:rPr>
      </w:pPr>
      <w:r>
        <w:rPr>
          <w:rFonts w:cs="Calibri"/>
        </w:rPr>
        <w:t>No aplica.</w:t>
      </w:r>
    </w:p>
    <w:p w14:paraId="199F0C37" w14:textId="77777777" w:rsidR="007D1E76" w:rsidRPr="00E74967" w:rsidRDefault="007D1E76" w:rsidP="00CB41C4">
      <w:pPr>
        <w:tabs>
          <w:tab w:val="left" w:leader="underscore" w:pos="9639"/>
        </w:tabs>
        <w:spacing w:after="0" w:line="240" w:lineRule="auto"/>
        <w:jc w:val="both"/>
        <w:rPr>
          <w:rFonts w:cs="Calibri"/>
        </w:rPr>
      </w:pPr>
    </w:p>
    <w:p w14:paraId="05A46BBB" w14:textId="01E8D72B"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Patrimonio de </w:t>
      </w:r>
      <w:r w:rsidR="006B1ADF">
        <w:rPr>
          <w:rFonts w:cs="Calibri"/>
        </w:rPr>
        <w:t>O</w:t>
      </w:r>
      <w:r w:rsidRPr="00E74967">
        <w:rPr>
          <w:rFonts w:cs="Calibri"/>
        </w:rPr>
        <w:t xml:space="preserve">rganismos </w:t>
      </w:r>
      <w:r w:rsidR="006B1ADF">
        <w:rPr>
          <w:rFonts w:cs="Calibri"/>
        </w:rPr>
        <w:t>D</w:t>
      </w:r>
      <w:r w:rsidRPr="00E74967">
        <w:rPr>
          <w:rFonts w:cs="Calibri"/>
        </w:rPr>
        <w:t xml:space="preserve">escentralizados de control </w:t>
      </w:r>
      <w:r w:rsidR="006B1ADF">
        <w:rPr>
          <w:rFonts w:cs="Calibri"/>
        </w:rPr>
        <w:t>P</w:t>
      </w:r>
      <w:r w:rsidRPr="00E74967">
        <w:rPr>
          <w:rFonts w:cs="Calibri"/>
        </w:rPr>
        <w:t xml:space="preserve">resupuestario </w:t>
      </w:r>
      <w:r w:rsidR="006B1ADF">
        <w:rPr>
          <w:rFonts w:cs="Calibri"/>
        </w:rPr>
        <w:t>D</w:t>
      </w:r>
      <w:r w:rsidRPr="00E74967">
        <w:rPr>
          <w:rFonts w:cs="Calibri"/>
        </w:rPr>
        <w:t>irecto, según corresponda:</w:t>
      </w:r>
    </w:p>
    <w:p w14:paraId="427B7EFF" w14:textId="77777777" w:rsidR="00DF28AC" w:rsidRPr="00E74967" w:rsidRDefault="00DF28AC" w:rsidP="00DF28AC">
      <w:pPr>
        <w:tabs>
          <w:tab w:val="left" w:leader="underscore" w:pos="9639"/>
        </w:tabs>
        <w:spacing w:after="0" w:line="240" w:lineRule="auto"/>
        <w:jc w:val="both"/>
        <w:rPr>
          <w:rFonts w:cs="Calibri"/>
        </w:rPr>
      </w:pPr>
      <w:r>
        <w:rPr>
          <w:rFonts w:cs="Calibri"/>
        </w:rPr>
        <w:t>No aplica.</w:t>
      </w:r>
    </w:p>
    <w:p w14:paraId="2B6EDA91" w14:textId="77777777" w:rsidR="007D1E76" w:rsidRPr="00E74967" w:rsidRDefault="007D1E76" w:rsidP="00CB41C4">
      <w:pPr>
        <w:tabs>
          <w:tab w:val="left" w:leader="underscore" w:pos="9639"/>
        </w:tabs>
        <w:spacing w:after="0" w:line="240" w:lineRule="auto"/>
        <w:jc w:val="both"/>
        <w:rPr>
          <w:rFonts w:cs="Calibri"/>
        </w:rPr>
      </w:pPr>
    </w:p>
    <w:p w14:paraId="56C3B8CD" w14:textId="77777777" w:rsidR="007D1E76" w:rsidRPr="00E74967" w:rsidRDefault="007D1E76" w:rsidP="00CB41C4">
      <w:pPr>
        <w:tabs>
          <w:tab w:val="left" w:leader="underscore" w:pos="9639"/>
        </w:tabs>
        <w:spacing w:after="0" w:line="240" w:lineRule="auto"/>
        <w:jc w:val="both"/>
        <w:rPr>
          <w:rFonts w:cs="Calibri"/>
        </w:rPr>
      </w:pPr>
    </w:p>
    <w:p w14:paraId="2D957F4B" w14:textId="6AD73354" w:rsidR="007D1E76" w:rsidRPr="000C3365" w:rsidRDefault="002722DD" w:rsidP="000C3365">
      <w:pPr>
        <w:pStyle w:val="Ttulo2"/>
        <w:rPr>
          <w:rFonts w:asciiTheme="minorHAnsi" w:hAnsiTheme="minorHAnsi" w:cstheme="minorHAnsi"/>
          <w:b/>
          <w:color w:val="auto"/>
          <w:sz w:val="22"/>
        </w:rPr>
      </w:pPr>
      <w:bookmarkStart w:id="7" w:name="_Toc161472873"/>
      <w:r>
        <w:rPr>
          <w:rFonts w:asciiTheme="minorHAnsi" w:hAnsiTheme="minorHAnsi" w:cstheme="minorHAnsi"/>
          <w:b/>
          <w:color w:val="auto"/>
          <w:sz w:val="22"/>
        </w:rPr>
        <w:t>8</w:t>
      </w:r>
      <w:r w:rsidR="007D1E76" w:rsidRPr="000C3365">
        <w:rPr>
          <w:rFonts w:asciiTheme="minorHAnsi" w:hAnsiTheme="minorHAnsi" w:cstheme="minorHAnsi"/>
          <w:b/>
          <w:color w:val="auto"/>
          <w:sz w:val="22"/>
        </w:rPr>
        <w:t>. Fidei</w:t>
      </w:r>
      <w:r w:rsidR="005E231E" w:rsidRPr="000C3365">
        <w:rPr>
          <w:rFonts w:asciiTheme="minorHAnsi" w:hAnsiTheme="minorHAnsi" w:cstheme="minorHAnsi"/>
          <w:b/>
          <w:color w:val="auto"/>
          <w:sz w:val="22"/>
        </w:rPr>
        <w:t>comisos, Mandatos y Análogos:</w:t>
      </w:r>
      <w:bookmarkEnd w:id="7"/>
    </w:p>
    <w:p w14:paraId="5B412C86" w14:textId="77777777" w:rsidR="007D1E76" w:rsidRPr="00E74967" w:rsidRDefault="007D1E76" w:rsidP="00CB41C4">
      <w:pPr>
        <w:tabs>
          <w:tab w:val="left" w:leader="underscore" w:pos="9639"/>
        </w:tabs>
        <w:spacing w:after="0" w:line="240" w:lineRule="auto"/>
        <w:jc w:val="both"/>
        <w:rPr>
          <w:rFonts w:cs="Calibri"/>
        </w:rPr>
      </w:pPr>
    </w:p>
    <w:p w14:paraId="6E55E71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deberá informar:</w:t>
      </w:r>
    </w:p>
    <w:p w14:paraId="708E87EF" w14:textId="77777777" w:rsidR="007D1E76" w:rsidRPr="00E74967" w:rsidRDefault="007D1E76" w:rsidP="00CB41C4">
      <w:pPr>
        <w:tabs>
          <w:tab w:val="left" w:leader="underscore" w:pos="9639"/>
        </w:tabs>
        <w:spacing w:after="0" w:line="240" w:lineRule="auto"/>
        <w:jc w:val="both"/>
        <w:rPr>
          <w:rFonts w:cs="Calibri"/>
        </w:rPr>
      </w:pPr>
    </w:p>
    <w:p w14:paraId="2701D9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Por ramo administrativo que los reporta:</w:t>
      </w:r>
    </w:p>
    <w:p w14:paraId="16C3DDF9" w14:textId="77777777" w:rsidR="00DF28AC" w:rsidRPr="00E74967" w:rsidRDefault="00DF28AC" w:rsidP="00DF28AC">
      <w:pPr>
        <w:tabs>
          <w:tab w:val="left" w:leader="underscore" w:pos="9639"/>
        </w:tabs>
        <w:spacing w:after="0" w:line="240" w:lineRule="auto"/>
        <w:jc w:val="both"/>
        <w:rPr>
          <w:rFonts w:cs="Calibri"/>
        </w:rPr>
      </w:pPr>
      <w:r>
        <w:rPr>
          <w:rFonts w:cs="Calibri"/>
        </w:rPr>
        <w:t>No aplica.</w:t>
      </w:r>
    </w:p>
    <w:p w14:paraId="2010752E" w14:textId="77777777" w:rsidR="007D1E76" w:rsidRPr="00E74967" w:rsidRDefault="007D1E76" w:rsidP="00CB41C4">
      <w:pPr>
        <w:tabs>
          <w:tab w:val="left" w:leader="underscore" w:pos="9639"/>
        </w:tabs>
        <w:spacing w:after="0" w:line="240" w:lineRule="auto"/>
        <w:jc w:val="both"/>
        <w:rPr>
          <w:rFonts w:cs="Calibri"/>
        </w:rPr>
      </w:pPr>
    </w:p>
    <w:p w14:paraId="326C225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Enlistar los de mayor monto de disponibilidad, relacionando aquéllos que conforman el 80% de las disponibilidades:</w:t>
      </w:r>
    </w:p>
    <w:p w14:paraId="73274B0F" w14:textId="77777777" w:rsidR="00DF28AC" w:rsidRPr="00E74967" w:rsidRDefault="00DF28AC" w:rsidP="00DF28AC">
      <w:pPr>
        <w:tabs>
          <w:tab w:val="left" w:leader="underscore" w:pos="9639"/>
        </w:tabs>
        <w:spacing w:after="0" w:line="240" w:lineRule="auto"/>
        <w:jc w:val="both"/>
        <w:rPr>
          <w:rFonts w:cs="Calibri"/>
        </w:rPr>
      </w:pPr>
      <w:r>
        <w:rPr>
          <w:rFonts w:cs="Calibri"/>
        </w:rPr>
        <w:t>No aplica.</w:t>
      </w:r>
    </w:p>
    <w:p w14:paraId="03AB3A3A" w14:textId="77777777" w:rsidR="007D1E76" w:rsidRPr="00E74967" w:rsidRDefault="007D1E76" w:rsidP="00CB41C4">
      <w:pPr>
        <w:tabs>
          <w:tab w:val="left" w:leader="underscore" w:pos="9639"/>
        </w:tabs>
        <w:spacing w:after="0" w:line="240" w:lineRule="auto"/>
        <w:jc w:val="both"/>
        <w:rPr>
          <w:rFonts w:cs="Calibri"/>
        </w:rPr>
      </w:pPr>
    </w:p>
    <w:p w14:paraId="5AE57259" w14:textId="77777777" w:rsidR="007D1E76" w:rsidRPr="00E74967" w:rsidRDefault="007D1E76" w:rsidP="00CB41C4">
      <w:pPr>
        <w:tabs>
          <w:tab w:val="left" w:leader="underscore" w:pos="9639"/>
        </w:tabs>
        <w:spacing w:after="0" w:line="240" w:lineRule="auto"/>
        <w:jc w:val="both"/>
        <w:rPr>
          <w:rFonts w:cs="Calibri"/>
        </w:rPr>
      </w:pPr>
    </w:p>
    <w:p w14:paraId="2F60B1C6" w14:textId="47BAD216" w:rsidR="007D1E76" w:rsidRPr="000C3365" w:rsidRDefault="002722DD" w:rsidP="000C3365">
      <w:pPr>
        <w:pStyle w:val="Ttulo2"/>
        <w:rPr>
          <w:rFonts w:asciiTheme="minorHAnsi" w:hAnsiTheme="minorHAnsi" w:cstheme="minorHAnsi"/>
          <w:b/>
          <w:color w:val="auto"/>
          <w:sz w:val="22"/>
        </w:rPr>
      </w:pPr>
      <w:bookmarkStart w:id="8" w:name="_Toc161472874"/>
      <w:r>
        <w:rPr>
          <w:rFonts w:asciiTheme="minorHAnsi" w:hAnsiTheme="minorHAnsi" w:cstheme="minorHAnsi"/>
          <w:b/>
          <w:color w:val="auto"/>
          <w:sz w:val="22"/>
        </w:rPr>
        <w:t>9</w:t>
      </w:r>
      <w:r w:rsidR="007D1E76" w:rsidRPr="000C3365">
        <w:rPr>
          <w:rFonts w:asciiTheme="minorHAnsi" w:hAnsiTheme="minorHAnsi" w:cstheme="minorHAnsi"/>
          <w:b/>
          <w:color w:val="auto"/>
          <w:sz w:val="22"/>
        </w:rPr>
        <w:t>. Reporte de la Recaudación:</w:t>
      </w:r>
      <w:bookmarkEnd w:id="8"/>
    </w:p>
    <w:p w14:paraId="2B90D2EC" w14:textId="77777777" w:rsidR="007D1E76" w:rsidRPr="00E74967" w:rsidRDefault="007D1E76" w:rsidP="00CB41C4">
      <w:pPr>
        <w:tabs>
          <w:tab w:val="left" w:leader="underscore" w:pos="9639"/>
        </w:tabs>
        <w:spacing w:after="0" w:line="240" w:lineRule="auto"/>
        <w:jc w:val="both"/>
        <w:rPr>
          <w:rFonts w:cs="Calibri"/>
        </w:rPr>
      </w:pPr>
    </w:p>
    <w:p w14:paraId="1F459DD8" w14:textId="188703DF" w:rsidR="00DF28AC" w:rsidRDefault="007D1E76" w:rsidP="00DF28AC">
      <w:pPr>
        <w:tabs>
          <w:tab w:val="left" w:leader="underscore" w:pos="9639"/>
        </w:tabs>
        <w:spacing w:after="0" w:line="240" w:lineRule="auto"/>
        <w:jc w:val="both"/>
        <w:rPr>
          <w:rFonts w:cs="Calibri"/>
        </w:rPr>
      </w:pPr>
      <w:r w:rsidRPr="00E74967">
        <w:rPr>
          <w:rFonts w:cs="Calibri"/>
          <w:b/>
        </w:rPr>
        <w:t>a)</w:t>
      </w:r>
      <w:r w:rsidRPr="00E74967">
        <w:rPr>
          <w:rFonts w:cs="Calibri"/>
        </w:rPr>
        <w:t xml:space="preserve"> Análisis del comportamiento de la recaudación correspondiente al ente público o cualquier tipo de ingreso, de forma separada los ingresos locales de los federales:</w:t>
      </w:r>
      <w:r w:rsidR="00DF28AC" w:rsidRPr="00DF28AC">
        <w:rPr>
          <w:rFonts w:cs="Calibri"/>
        </w:rPr>
        <w:t xml:space="preserve"> </w:t>
      </w:r>
    </w:p>
    <w:p w14:paraId="0EAC34E4" w14:textId="77777777" w:rsidR="000C766F" w:rsidRDefault="000C766F" w:rsidP="00DF28AC">
      <w:pPr>
        <w:tabs>
          <w:tab w:val="left" w:leader="underscore" w:pos="9639"/>
        </w:tabs>
        <w:spacing w:after="0" w:line="240" w:lineRule="auto"/>
        <w:jc w:val="both"/>
        <w:rPr>
          <w:rFonts w:cs="Calibri"/>
        </w:rPr>
      </w:pPr>
    </w:p>
    <w:bookmarkStart w:id="9" w:name="_MON_1679905440"/>
    <w:bookmarkEnd w:id="9"/>
    <w:p w14:paraId="4CC51DF1" w14:textId="713CED0D" w:rsidR="00DF28AC" w:rsidRPr="00E74967" w:rsidRDefault="000C766F" w:rsidP="00DF28AC">
      <w:pPr>
        <w:tabs>
          <w:tab w:val="left" w:leader="underscore" w:pos="9639"/>
        </w:tabs>
        <w:spacing w:after="0" w:line="240" w:lineRule="auto"/>
        <w:jc w:val="both"/>
        <w:rPr>
          <w:rFonts w:cs="Calibri"/>
        </w:rPr>
      </w:pPr>
      <w:r>
        <w:rPr>
          <w:rFonts w:cs="Calibri"/>
        </w:rPr>
        <w:object w:dxaOrig="7998" w:dyaOrig="1472" w14:anchorId="46F0CF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399.75pt;height:73.5pt" o:ole="">
            <v:imagedata r:id="rId13" o:title=""/>
          </v:shape>
          <o:OLEObject Type="Embed" ProgID="Excel.Sheet.12" ShapeID="_x0000_i1047" DrawAspect="Content" ObjectID="_1775372889" r:id="rId14"/>
        </w:object>
      </w:r>
    </w:p>
    <w:p w14:paraId="411A826A" w14:textId="77777777" w:rsidR="00DF28AC" w:rsidRPr="00E74967" w:rsidRDefault="00DF28AC" w:rsidP="00DF28AC">
      <w:pPr>
        <w:tabs>
          <w:tab w:val="left" w:leader="underscore" w:pos="9639"/>
        </w:tabs>
        <w:spacing w:after="0" w:line="240" w:lineRule="auto"/>
        <w:jc w:val="both"/>
        <w:rPr>
          <w:rFonts w:cs="Calibri"/>
        </w:rPr>
      </w:pPr>
    </w:p>
    <w:p w14:paraId="07029157" w14:textId="1502A0F3" w:rsidR="00DF28AC" w:rsidRDefault="007D1E76" w:rsidP="00DF28AC">
      <w:pPr>
        <w:tabs>
          <w:tab w:val="left" w:leader="underscore" w:pos="9639"/>
        </w:tabs>
        <w:spacing w:after="0" w:line="240" w:lineRule="auto"/>
        <w:jc w:val="both"/>
        <w:rPr>
          <w:rFonts w:cs="Calibri"/>
        </w:rPr>
      </w:pPr>
      <w:r w:rsidRPr="00E74967">
        <w:rPr>
          <w:rFonts w:cs="Calibri"/>
          <w:b/>
        </w:rPr>
        <w:t>b)</w:t>
      </w:r>
      <w:r w:rsidRPr="00E74967">
        <w:rPr>
          <w:rFonts w:cs="Calibri"/>
        </w:rPr>
        <w:t xml:space="preserve"> Proyección de la recaudación e ingresos en el mediano plazo:</w:t>
      </w:r>
      <w:r w:rsidR="00DF28AC" w:rsidRPr="00DF28AC">
        <w:rPr>
          <w:rFonts w:cs="Calibri"/>
        </w:rPr>
        <w:t xml:space="preserve"> </w:t>
      </w:r>
    </w:p>
    <w:p w14:paraId="20E551FC" w14:textId="77777777" w:rsidR="000C766F" w:rsidRDefault="000C766F" w:rsidP="00DF28AC">
      <w:pPr>
        <w:tabs>
          <w:tab w:val="left" w:leader="underscore" w:pos="9639"/>
        </w:tabs>
        <w:spacing w:after="0" w:line="240" w:lineRule="auto"/>
        <w:jc w:val="both"/>
        <w:rPr>
          <w:rFonts w:cs="Calibri"/>
        </w:rPr>
      </w:pPr>
    </w:p>
    <w:bookmarkStart w:id="10" w:name="_MON_1679905944"/>
    <w:bookmarkEnd w:id="10"/>
    <w:p w14:paraId="088E5E52" w14:textId="59D85C83" w:rsidR="00DF28AC" w:rsidRPr="00E74967" w:rsidRDefault="000C766F" w:rsidP="00DF28AC">
      <w:pPr>
        <w:tabs>
          <w:tab w:val="left" w:leader="underscore" w:pos="9639"/>
        </w:tabs>
        <w:spacing w:after="0" w:line="240" w:lineRule="auto"/>
        <w:jc w:val="both"/>
        <w:rPr>
          <w:rFonts w:cs="Calibri"/>
        </w:rPr>
      </w:pPr>
      <w:r>
        <w:rPr>
          <w:rFonts w:cs="Calibri"/>
        </w:rPr>
        <w:object w:dxaOrig="7998" w:dyaOrig="1472" w14:anchorId="4D5312BC">
          <v:shape id="_x0000_i1034" type="#_x0000_t75" style="width:399.75pt;height:73.5pt" o:ole="">
            <v:imagedata r:id="rId15" o:title=""/>
          </v:shape>
          <o:OLEObject Type="Embed" ProgID="Excel.Sheet.12" ShapeID="_x0000_i1034" DrawAspect="Content" ObjectID="_1775372890" r:id="rId16"/>
        </w:object>
      </w:r>
    </w:p>
    <w:p w14:paraId="58C52D9B" w14:textId="77777777" w:rsidR="00DF28AC" w:rsidRPr="00E74967" w:rsidRDefault="00DF28AC" w:rsidP="00DF28AC">
      <w:pPr>
        <w:tabs>
          <w:tab w:val="left" w:leader="underscore" w:pos="9639"/>
        </w:tabs>
        <w:spacing w:after="0" w:line="240" w:lineRule="auto"/>
        <w:jc w:val="both"/>
        <w:rPr>
          <w:rFonts w:cs="Calibri"/>
        </w:rPr>
      </w:pPr>
    </w:p>
    <w:p w14:paraId="2D68C3FC" w14:textId="7BAEB103" w:rsidR="007D1E76" w:rsidRPr="000C3365" w:rsidRDefault="007D1E76" w:rsidP="000C3365">
      <w:pPr>
        <w:pStyle w:val="Ttulo2"/>
        <w:rPr>
          <w:rFonts w:asciiTheme="minorHAnsi" w:hAnsiTheme="minorHAnsi" w:cstheme="minorHAnsi"/>
          <w:b/>
          <w:color w:val="auto"/>
          <w:sz w:val="22"/>
        </w:rPr>
      </w:pPr>
      <w:bookmarkStart w:id="11" w:name="_Toc161472875"/>
      <w:r w:rsidRPr="000C3365">
        <w:rPr>
          <w:rFonts w:asciiTheme="minorHAnsi" w:hAnsiTheme="minorHAnsi" w:cstheme="minorHAnsi"/>
          <w:b/>
          <w:color w:val="auto"/>
          <w:sz w:val="22"/>
        </w:rPr>
        <w:t>1</w:t>
      </w:r>
      <w:r w:rsidR="00106EE9">
        <w:rPr>
          <w:rFonts w:asciiTheme="minorHAnsi" w:hAnsiTheme="minorHAnsi" w:cstheme="minorHAnsi"/>
          <w:b/>
          <w:color w:val="auto"/>
          <w:sz w:val="22"/>
        </w:rPr>
        <w:t>0</w:t>
      </w:r>
      <w:r w:rsidRPr="000C3365">
        <w:rPr>
          <w:rFonts w:asciiTheme="minorHAnsi" w:hAnsiTheme="minorHAnsi" w:cstheme="minorHAnsi"/>
          <w:b/>
          <w:color w:val="auto"/>
          <w:sz w:val="22"/>
        </w:rPr>
        <w:t>. Información sobre la Deuda y el R</w:t>
      </w:r>
      <w:r w:rsidR="005E231E" w:rsidRPr="000C3365">
        <w:rPr>
          <w:rFonts w:asciiTheme="minorHAnsi" w:hAnsiTheme="minorHAnsi" w:cstheme="minorHAnsi"/>
          <w:b/>
          <w:color w:val="auto"/>
          <w:sz w:val="22"/>
        </w:rPr>
        <w:t>eporte Analítico de la Deuda:</w:t>
      </w:r>
      <w:bookmarkEnd w:id="11"/>
    </w:p>
    <w:p w14:paraId="27337031" w14:textId="77777777" w:rsidR="007D1E76" w:rsidRPr="00E74967" w:rsidRDefault="007D1E76" w:rsidP="00CB41C4">
      <w:pPr>
        <w:tabs>
          <w:tab w:val="left" w:leader="underscore" w:pos="9639"/>
        </w:tabs>
        <w:spacing w:after="0" w:line="240" w:lineRule="auto"/>
        <w:jc w:val="both"/>
        <w:rPr>
          <w:rFonts w:cs="Calibri"/>
        </w:rPr>
      </w:pPr>
    </w:p>
    <w:p w14:paraId="7B63D2E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Utilizar al menos los siguientes indicadores: deuda respecto al PIB y deuda respecto a la recaudación tomando, como mínimo, un período igual o menor a 5 años.</w:t>
      </w:r>
    </w:p>
    <w:p w14:paraId="3F9DDBBA" w14:textId="77777777" w:rsidR="007D1E76" w:rsidRPr="00E74967" w:rsidRDefault="007D1E76" w:rsidP="00CB41C4">
      <w:pPr>
        <w:tabs>
          <w:tab w:val="left" w:leader="underscore" w:pos="9639"/>
        </w:tabs>
        <w:spacing w:after="0" w:line="240" w:lineRule="auto"/>
        <w:jc w:val="both"/>
        <w:rPr>
          <w:rFonts w:cs="Calibri"/>
        </w:rPr>
      </w:pPr>
    </w:p>
    <w:p w14:paraId="26034E4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Información de manera agrupada por tipo de valor gubernamental o instrumento financiero en la que se considere</w:t>
      </w:r>
      <w:r w:rsidR="001973A2" w:rsidRPr="00E74967">
        <w:rPr>
          <w:rFonts w:cs="Calibri"/>
        </w:rPr>
        <w:t>n</w:t>
      </w:r>
      <w:r w:rsidRPr="00E74967">
        <w:rPr>
          <w:rFonts w:cs="Calibri"/>
        </w:rPr>
        <w:t xml:space="preserve"> intereses, comisiones, tasa, perfil de vencimiento y otros gastos de la deuda.</w:t>
      </w:r>
    </w:p>
    <w:p w14:paraId="67DDEBBA" w14:textId="00AEA81A"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 Se </w:t>
      </w:r>
      <w:r w:rsidR="000C3365" w:rsidRPr="00E74967">
        <w:rPr>
          <w:rFonts w:cs="Calibri"/>
        </w:rPr>
        <w:t>anexará</w:t>
      </w:r>
      <w:r w:rsidRPr="00E74967">
        <w:rPr>
          <w:rFonts w:cs="Calibri"/>
        </w:rPr>
        <w:t xml:space="preserve"> la informació</w:t>
      </w:r>
      <w:r w:rsidR="005E231E" w:rsidRPr="00E74967">
        <w:rPr>
          <w:rFonts w:cs="Calibri"/>
        </w:rPr>
        <w:t>n en las notas de desglose.</w:t>
      </w:r>
    </w:p>
    <w:p w14:paraId="47A92FC9" w14:textId="77777777" w:rsidR="007D1E76" w:rsidRPr="00E74967" w:rsidRDefault="007D1E76" w:rsidP="00CB41C4">
      <w:pPr>
        <w:tabs>
          <w:tab w:val="left" w:leader="underscore" w:pos="9639"/>
        </w:tabs>
        <w:spacing w:after="0" w:line="240" w:lineRule="auto"/>
        <w:jc w:val="both"/>
        <w:rPr>
          <w:rFonts w:cs="Calibri"/>
        </w:rPr>
      </w:pPr>
    </w:p>
    <w:p w14:paraId="409B1D78" w14:textId="77777777" w:rsidR="007D1E76" w:rsidRPr="00E74967" w:rsidRDefault="007D1E76" w:rsidP="00CB41C4">
      <w:pPr>
        <w:tabs>
          <w:tab w:val="left" w:leader="underscore" w:pos="9639"/>
        </w:tabs>
        <w:spacing w:after="0" w:line="240" w:lineRule="auto"/>
        <w:jc w:val="both"/>
        <w:rPr>
          <w:rFonts w:cs="Calibri"/>
        </w:rPr>
      </w:pPr>
    </w:p>
    <w:p w14:paraId="19C64A34" w14:textId="7E11CC12" w:rsidR="007D1E76" w:rsidRPr="000C3365" w:rsidRDefault="007D1E76" w:rsidP="000C3365">
      <w:pPr>
        <w:pStyle w:val="Ttulo2"/>
        <w:rPr>
          <w:rFonts w:asciiTheme="minorHAnsi" w:hAnsiTheme="minorHAnsi" w:cstheme="minorHAnsi"/>
          <w:b/>
          <w:color w:val="auto"/>
          <w:sz w:val="22"/>
        </w:rPr>
      </w:pPr>
      <w:bookmarkStart w:id="12" w:name="_Toc161472876"/>
      <w:r w:rsidRPr="000C3365">
        <w:rPr>
          <w:rFonts w:asciiTheme="minorHAnsi" w:hAnsiTheme="minorHAnsi" w:cstheme="minorHAnsi"/>
          <w:b/>
          <w:color w:val="auto"/>
          <w:sz w:val="22"/>
        </w:rPr>
        <w:lastRenderedPageBreak/>
        <w:t>1</w:t>
      </w:r>
      <w:r w:rsidR="005F2900">
        <w:rPr>
          <w:rFonts w:asciiTheme="minorHAnsi" w:hAnsiTheme="minorHAnsi" w:cstheme="minorHAnsi"/>
          <w:b/>
          <w:color w:val="auto"/>
          <w:sz w:val="22"/>
        </w:rPr>
        <w:t>1</w:t>
      </w:r>
      <w:r w:rsidRPr="000C3365">
        <w:rPr>
          <w:rFonts w:asciiTheme="minorHAnsi" w:hAnsiTheme="minorHAnsi" w:cstheme="minorHAnsi"/>
          <w:b/>
          <w:color w:val="auto"/>
          <w:sz w:val="22"/>
        </w:rPr>
        <w:t>.</w:t>
      </w:r>
      <w:r w:rsidR="005E231E" w:rsidRPr="000C3365">
        <w:rPr>
          <w:rFonts w:asciiTheme="minorHAnsi" w:hAnsiTheme="minorHAnsi" w:cstheme="minorHAnsi"/>
          <w:b/>
          <w:color w:val="auto"/>
          <w:sz w:val="22"/>
        </w:rPr>
        <w:t xml:space="preserve"> Calificaciones otorgadas:</w:t>
      </w:r>
      <w:bookmarkEnd w:id="12"/>
    </w:p>
    <w:p w14:paraId="67197CE9" w14:textId="77777777" w:rsidR="007D1E76" w:rsidRPr="00E74967" w:rsidRDefault="007D1E76" w:rsidP="00CB41C4">
      <w:pPr>
        <w:tabs>
          <w:tab w:val="left" w:leader="underscore" w:pos="9639"/>
        </w:tabs>
        <w:spacing w:after="0" w:line="240" w:lineRule="auto"/>
        <w:jc w:val="both"/>
        <w:rPr>
          <w:rFonts w:cs="Calibri"/>
        </w:rPr>
      </w:pPr>
    </w:p>
    <w:p w14:paraId="57D9F68C"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Informar, tanto del ente público como cualquier transacción realizada, que haya sido sujeta a una calificación crediticia:</w:t>
      </w:r>
    </w:p>
    <w:p w14:paraId="5FD43505" w14:textId="2E62F8DF" w:rsidR="007D1E76" w:rsidRPr="00E74967" w:rsidRDefault="00017F5B" w:rsidP="00CB41C4">
      <w:pPr>
        <w:tabs>
          <w:tab w:val="left" w:leader="underscore" w:pos="9639"/>
        </w:tabs>
        <w:spacing w:after="0" w:line="240" w:lineRule="auto"/>
        <w:jc w:val="both"/>
        <w:rPr>
          <w:rFonts w:cs="Calibri"/>
        </w:rPr>
      </w:pPr>
      <w:r>
        <w:rPr>
          <w:rFonts w:cs="Calibri"/>
        </w:rPr>
        <w:t>No aplica</w:t>
      </w:r>
    </w:p>
    <w:p w14:paraId="6B02EAB0" w14:textId="77777777" w:rsidR="007D1E76" w:rsidRPr="00E74967" w:rsidRDefault="007D1E76" w:rsidP="00CB41C4">
      <w:pPr>
        <w:tabs>
          <w:tab w:val="left" w:leader="underscore" w:pos="9639"/>
        </w:tabs>
        <w:spacing w:after="0" w:line="240" w:lineRule="auto"/>
        <w:jc w:val="both"/>
        <w:rPr>
          <w:rFonts w:cs="Calibri"/>
        </w:rPr>
      </w:pPr>
    </w:p>
    <w:p w14:paraId="69F25506" w14:textId="77777777" w:rsidR="007D1E76" w:rsidRPr="00E74967" w:rsidRDefault="007D1E76" w:rsidP="00CB41C4">
      <w:pPr>
        <w:tabs>
          <w:tab w:val="left" w:leader="underscore" w:pos="9639"/>
        </w:tabs>
        <w:spacing w:after="0" w:line="240" w:lineRule="auto"/>
        <w:jc w:val="both"/>
        <w:rPr>
          <w:rFonts w:cs="Calibri"/>
        </w:rPr>
      </w:pPr>
    </w:p>
    <w:p w14:paraId="10B4C763" w14:textId="7FFDB478" w:rsidR="007D1E76" w:rsidRPr="000C3365" w:rsidRDefault="007D1E76" w:rsidP="000C3365">
      <w:pPr>
        <w:pStyle w:val="Ttulo2"/>
        <w:rPr>
          <w:rFonts w:asciiTheme="minorHAnsi" w:hAnsiTheme="minorHAnsi" w:cstheme="minorHAnsi"/>
          <w:b/>
          <w:color w:val="auto"/>
          <w:sz w:val="22"/>
        </w:rPr>
      </w:pPr>
      <w:bookmarkStart w:id="13" w:name="_Toc161472877"/>
      <w:r w:rsidRPr="000C3365">
        <w:rPr>
          <w:rFonts w:asciiTheme="minorHAnsi" w:hAnsiTheme="minorHAnsi" w:cstheme="minorHAnsi"/>
          <w:b/>
          <w:color w:val="auto"/>
          <w:sz w:val="22"/>
        </w:rPr>
        <w:t>1</w:t>
      </w:r>
      <w:r w:rsidR="00F6759B">
        <w:rPr>
          <w:rFonts w:asciiTheme="minorHAnsi" w:hAnsiTheme="minorHAnsi" w:cstheme="minorHAnsi"/>
          <w:b/>
          <w:color w:val="auto"/>
          <w:sz w:val="22"/>
        </w:rPr>
        <w:t>2</w:t>
      </w:r>
      <w:r w:rsidRPr="000C3365">
        <w:rPr>
          <w:rFonts w:asciiTheme="minorHAnsi" w:hAnsiTheme="minorHAnsi" w:cstheme="minorHAnsi"/>
          <w:b/>
          <w:color w:val="auto"/>
          <w:sz w:val="22"/>
        </w:rPr>
        <w:t>. Proceso de Mejora:</w:t>
      </w:r>
      <w:bookmarkEnd w:id="13"/>
    </w:p>
    <w:p w14:paraId="0251CC47" w14:textId="77777777" w:rsidR="007D1E76" w:rsidRPr="00E74967" w:rsidRDefault="007D1E76" w:rsidP="00CB41C4">
      <w:pPr>
        <w:tabs>
          <w:tab w:val="left" w:leader="underscore" w:pos="9639"/>
        </w:tabs>
        <w:spacing w:after="0" w:line="240" w:lineRule="auto"/>
        <w:jc w:val="both"/>
        <w:rPr>
          <w:rFonts w:cs="Calibri"/>
        </w:rPr>
      </w:pPr>
    </w:p>
    <w:p w14:paraId="171672D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de:</w:t>
      </w:r>
    </w:p>
    <w:p w14:paraId="533FB084" w14:textId="77777777" w:rsidR="007D1E76" w:rsidRPr="00E74967" w:rsidRDefault="007D1E76" w:rsidP="00CB41C4">
      <w:pPr>
        <w:tabs>
          <w:tab w:val="left" w:leader="underscore" w:pos="9639"/>
        </w:tabs>
        <w:spacing w:after="0" w:line="240" w:lineRule="auto"/>
        <w:jc w:val="both"/>
        <w:rPr>
          <w:rFonts w:cs="Calibri"/>
        </w:rPr>
      </w:pPr>
    </w:p>
    <w:p w14:paraId="4D639A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Principales Políticas de control interno:</w:t>
      </w:r>
    </w:p>
    <w:p w14:paraId="5D2BD103" w14:textId="77777777" w:rsidR="00017F5B" w:rsidRPr="00E74967" w:rsidRDefault="00017F5B" w:rsidP="00017F5B">
      <w:pPr>
        <w:tabs>
          <w:tab w:val="left" w:leader="underscore" w:pos="9639"/>
        </w:tabs>
        <w:spacing w:after="0" w:line="240" w:lineRule="auto"/>
        <w:jc w:val="both"/>
        <w:rPr>
          <w:rFonts w:cs="Calibri"/>
        </w:rPr>
      </w:pPr>
      <w:r>
        <w:rPr>
          <w:rFonts w:cs="Calibri"/>
        </w:rPr>
        <w:t>Apego al presupuesto aprobado.</w:t>
      </w:r>
    </w:p>
    <w:p w14:paraId="1BD51D41" w14:textId="77777777" w:rsidR="007D1E76" w:rsidRPr="00E74967" w:rsidRDefault="007D1E76" w:rsidP="00CB41C4">
      <w:pPr>
        <w:tabs>
          <w:tab w:val="left" w:leader="underscore" w:pos="9639"/>
        </w:tabs>
        <w:spacing w:after="0" w:line="240" w:lineRule="auto"/>
        <w:jc w:val="both"/>
        <w:rPr>
          <w:rFonts w:cs="Calibri"/>
        </w:rPr>
      </w:pPr>
    </w:p>
    <w:p w14:paraId="59CFF4B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Medidas de desempeño financiero, metas y alcance:</w:t>
      </w:r>
    </w:p>
    <w:p w14:paraId="5C599F15" w14:textId="77777777" w:rsidR="00017F5B" w:rsidRPr="00E74967" w:rsidRDefault="00017F5B" w:rsidP="00017F5B">
      <w:pPr>
        <w:tabs>
          <w:tab w:val="left" w:leader="underscore" w:pos="9639"/>
        </w:tabs>
        <w:spacing w:after="0" w:line="240" w:lineRule="auto"/>
        <w:jc w:val="both"/>
        <w:rPr>
          <w:rFonts w:cs="Calibri"/>
        </w:rPr>
      </w:pPr>
      <w:r>
        <w:rPr>
          <w:rFonts w:cs="Calibri"/>
        </w:rPr>
        <w:t>Ahorro en las partidas del presupuesto.</w:t>
      </w:r>
    </w:p>
    <w:p w14:paraId="6DD757EA" w14:textId="77777777" w:rsidR="007D1E76" w:rsidRPr="00E74967" w:rsidRDefault="007D1E76" w:rsidP="00CB41C4">
      <w:pPr>
        <w:tabs>
          <w:tab w:val="left" w:leader="underscore" w:pos="9639"/>
        </w:tabs>
        <w:spacing w:after="0" w:line="240" w:lineRule="auto"/>
        <w:jc w:val="both"/>
        <w:rPr>
          <w:rFonts w:cs="Calibri"/>
        </w:rPr>
      </w:pPr>
    </w:p>
    <w:p w14:paraId="795495BA" w14:textId="77777777" w:rsidR="007D1E76" w:rsidRPr="00E74967" w:rsidRDefault="007D1E76" w:rsidP="00CB41C4">
      <w:pPr>
        <w:tabs>
          <w:tab w:val="left" w:leader="underscore" w:pos="9639"/>
        </w:tabs>
        <w:spacing w:after="0" w:line="240" w:lineRule="auto"/>
        <w:jc w:val="both"/>
        <w:rPr>
          <w:rFonts w:cs="Calibri"/>
        </w:rPr>
      </w:pPr>
    </w:p>
    <w:p w14:paraId="3D010C2A" w14:textId="279F5D07" w:rsidR="007D1E76" w:rsidRPr="000C3365" w:rsidRDefault="007D1E76" w:rsidP="000C3365">
      <w:pPr>
        <w:pStyle w:val="Ttulo2"/>
        <w:rPr>
          <w:rFonts w:asciiTheme="minorHAnsi" w:hAnsiTheme="minorHAnsi" w:cstheme="minorHAnsi"/>
          <w:b/>
          <w:color w:val="auto"/>
          <w:sz w:val="22"/>
        </w:rPr>
      </w:pPr>
      <w:bookmarkStart w:id="14" w:name="_Toc161472878"/>
      <w:r w:rsidRPr="000C3365">
        <w:rPr>
          <w:rFonts w:asciiTheme="minorHAnsi" w:hAnsiTheme="minorHAnsi" w:cstheme="minorHAnsi"/>
          <w:b/>
          <w:color w:val="auto"/>
          <w:sz w:val="22"/>
        </w:rPr>
        <w:t>1</w:t>
      </w:r>
      <w:r w:rsidR="00F6759B">
        <w:rPr>
          <w:rFonts w:asciiTheme="minorHAnsi" w:hAnsiTheme="minorHAnsi" w:cstheme="minorHAnsi"/>
          <w:b/>
          <w:color w:val="auto"/>
          <w:sz w:val="22"/>
        </w:rPr>
        <w:t>3</w:t>
      </w:r>
      <w:r w:rsidR="005E231E" w:rsidRPr="000C3365">
        <w:rPr>
          <w:rFonts w:asciiTheme="minorHAnsi" w:hAnsiTheme="minorHAnsi" w:cstheme="minorHAnsi"/>
          <w:b/>
          <w:color w:val="auto"/>
          <w:sz w:val="22"/>
        </w:rPr>
        <w:t>. Información por Segmentos:</w:t>
      </w:r>
      <w:bookmarkEnd w:id="14"/>
    </w:p>
    <w:p w14:paraId="6C3C6A04" w14:textId="77777777" w:rsidR="007D1E76" w:rsidRPr="00E74967" w:rsidRDefault="007D1E76" w:rsidP="00CB41C4">
      <w:pPr>
        <w:tabs>
          <w:tab w:val="left" w:leader="underscore" w:pos="9639"/>
        </w:tabs>
        <w:spacing w:after="0" w:line="240" w:lineRule="auto"/>
        <w:jc w:val="both"/>
        <w:rPr>
          <w:rFonts w:cs="Calibri"/>
        </w:rPr>
      </w:pPr>
    </w:p>
    <w:p w14:paraId="64BC1596" w14:textId="46D52ADD" w:rsidR="007D1E76" w:rsidRPr="00E74967" w:rsidRDefault="00806269" w:rsidP="00CB41C4">
      <w:pPr>
        <w:tabs>
          <w:tab w:val="left" w:leader="underscore" w:pos="9639"/>
        </w:tabs>
        <w:spacing w:after="0" w:line="240" w:lineRule="auto"/>
        <w:jc w:val="both"/>
        <w:rPr>
          <w:rFonts w:cs="Calibri"/>
        </w:rPr>
      </w:pPr>
      <w:r w:rsidRPr="00806269">
        <w:rPr>
          <w:rFonts w:cs="Calibri"/>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r w:rsidR="007D1E76" w:rsidRPr="00E74967">
        <w:rPr>
          <w:rFonts w:cs="Calibri"/>
        </w:rPr>
        <w:t>.</w:t>
      </w:r>
    </w:p>
    <w:p w14:paraId="1E94F855" w14:textId="77777777" w:rsidR="007D1E76" w:rsidRPr="00E74967" w:rsidRDefault="007D1E76" w:rsidP="00CB41C4">
      <w:pPr>
        <w:tabs>
          <w:tab w:val="left" w:leader="underscore" w:pos="9639"/>
        </w:tabs>
        <w:spacing w:after="0" w:line="240" w:lineRule="auto"/>
        <w:jc w:val="both"/>
        <w:rPr>
          <w:rFonts w:cs="Calibri"/>
        </w:rPr>
      </w:pPr>
    </w:p>
    <w:p w14:paraId="54078A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Consecuentemente, esta información contribuye al análisis más preciso de la situación financiera, grados y fuentes de riesgo y crec</w:t>
      </w:r>
      <w:r w:rsidR="005E231E" w:rsidRPr="00E74967">
        <w:rPr>
          <w:rFonts w:cs="Calibri"/>
        </w:rPr>
        <w:t>imiento potencial de negocio.</w:t>
      </w:r>
    </w:p>
    <w:p w14:paraId="4054793D" w14:textId="77777777" w:rsidR="007D1E76" w:rsidRPr="00E74967" w:rsidRDefault="007D1E76" w:rsidP="00CB41C4">
      <w:pPr>
        <w:tabs>
          <w:tab w:val="left" w:leader="underscore" w:pos="9639"/>
        </w:tabs>
        <w:spacing w:after="0" w:line="240" w:lineRule="auto"/>
        <w:jc w:val="both"/>
        <w:rPr>
          <w:rFonts w:cs="Calibri"/>
        </w:rPr>
      </w:pPr>
    </w:p>
    <w:p w14:paraId="03BBF660" w14:textId="77777777" w:rsidR="007D1E76" w:rsidRPr="00E74967" w:rsidRDefault="007D1E76" w:rsidP="00CB41C4">
      <w:pPr>
        <w:tabs>
          <w:tab w:val="left" w:leader="underscore" w:pos="9639"/>
        </w:tabs>
        <w:spacing w:after="0" w:line="240" w:lineRule="auto"/>
        <w:jc w:val="both"/>
        <w:rPr>
          <w:rFonts w:cs="Calibri"/>
        </w:rPr>
      </w:pPr>
    </w:p>
    <w:p w14:paraId="5CE772DA" w14:textId="7AAD6A4E" w:rsidR="007D1E76" w:rsidRPr="000C3365" w:rsidRDefault="007D1E76" w:rsidP="000C3365">
      <w:pPr>
        <w:pStyle w:val="Ttulo2"/>
        <w:rPr>
          <w:rFonts w:asciiTheme="minorHAnsi" w:hAnsiTheme="minorHAnsi" w:cstheme="minorHAnsi"/>
          <w:b/>
          <w:color w:val="auto"/>
          <w:sz w:val="22"/>
        </w:rPr>
      </w:pPr>
      <w:bookmarkStart w:id="15" w:name="_Toc161472879"/>
      <w:r w:rsidRPr="000C3365">
        <w:rPr>
          <w:rFonts w:asciiTheme="minorHAnsi" w:hAnsiTheme="minorHAnsi" w:cstheme="minorHAnsi"/>
          <w:b/>
          <w:color w:val="auto"/>
          <w:sz w:val="22"/>
        </w:rPr>
        <w:t>1</w:t>
      </w:r>
      <w:r w:rsidR="004A1077">
        <w:rPr>
          <w:rFonts w:asciiTheme="minorHAnsi" w:hAnsiTheme="minorHAnsi" w:cstheme="minorHAnsi"/>
          <w:b/>
          <w:color w:val="auto"/>
          <w:sz w:val="22"/>
        </w:rPr>
        <w:t>4</w:t>
      </w:r>
      <w:r w:rsidRPr="000C3365">
        <w:rPr>
          <w:rFonts w:asciiTheme="minorHAnsi" w:hAnsiTheme="minorHAnsi" w:cstheme="minorHAnsi"/>
          <w:b/>
          <w:color w:val="auto"/>
          <w:sz w:val="22"/>
        </w:rPr>
        <w:t>. E</w:t>
      </w:r>
      <w:r w:rsidR="005E231E" w:rsidRPr="000C3365">
        <w:rPr>
          <w:rFonts w:asciiTheme="minorHAnsi" w:hAnsiTheme="minorHAnsi" w:cstheme="minorHAnsi"/>
          <w:b/>
          <w:color w:val="auto"/>
          <w:sz w:val="22"/>
        </w:rPr>
        <w:t>ventos Posteriores al Cierre:</w:t>
      </w:r>
      <w:bookmarkEnd w:id="15"/>
    </w:p>
    <w:p w14:paraId="362DF4F4" w14:textId="77777777" w:rsidR="007D1E76" w:rsidRPr="00E74967" w:rsidRDefault="007D1E76" w:rsidP="00CB41C4">
      <w:pPr>
        <w:tabs>
          <w:tab w:val="left" w:leader="underscore" w:pos="9639"/>
        </w:tabs>
        <w:spacing w:after="0" w:line="240" w:lineRule="auto"/>
        <w:jc w:val="both"/>
        <w:rPr>
          <w:rFonts w:cs="Calibri"/>
        </w:rPr>
      </w:pPr>
    </w:p>
    <w:p w14:paraId="6268D065" w14:textId="1FF06B98" w:rsidR="001C34BC" w:rsidRPr="00E74967" w:rsidRDefault="007D1E76" w:rsidP="001C34BC">
      <w:pPr>
        <w:tabs>
          <w:tab w:val="left" w:leader="underscore" w:pos="9639"/>
        </w:tabs>
        <w:spacing w:after="0" w:line="240" w:lineRule="auto"/>
        <w:jc w:val="both"/>
        <w:rPr>
          <w:rFonts w:cs="Calibri"/>
        </w:rPr>
      </w:pPr>
      <w:r w:rsidRPr="00E74967">
        <w:rPr>
          <w:rFonts w:cs="Calibri"/>
        </w:rPr>
        <w:t>El ente público informará el efecto en sus estados financieros de aquellos hechos ocurridos en el período posterior al que informa, que proporcionan mayor evidencia sobre eventos que le afectan económicamente y que no se cono</w:t>
      </w:r>
      <w:r w:rsidR="005E231E" w:rsidRPr="00E74967">
        <w:rPr>
          <w:rFonts w:cs="Calibri"/>
        </w:rPr>
        <w:t>cían a la fecha de cierre.</w:t>
      </w:r>
      <w:r w:rsidR="005E231E" w:rsidRPr="00E74967">
        <w:rPr>
          <w:rFonts w:cs="Calibri"/>
        </w:rPr>
        <w:cr/>
      </w:r>
    </w:p>
    <w:p w14:paraId="55D08D4D" w14:textId="77777777" w:rsidR="007D1E76" w:rsidRPr="00E74967" w:rsidRDefault="007D1E76" w:rsidP="00CB41C4">
      <w:pPr>
        <w:tabs>
          <w:tab w:val="left" w:leader="underscore" w:pos="9639"/>
        </w:tabs>
        <w:spacing w:after="0" w:line="240" w:lineRule="auto"/>
        <w:jc w:val="both"/>
        <w:rPr>
          <w:rFonts w:cs="Calibri"/>
        </w:rPr>
      </w:pPr>
    </w:p>
    <w:p w14:paraId="3CC9AECC" w14:textId="4681A2A9" w:rsidR="007D1E76" w:rsidRPr="000C3365" w:rsidRDefault="005E231E" w:rsidP="000C3365">
      <w:pPr>
        <w:pStyle w:val="Ttulo2"/>
        <w:rPr>
          <w:rFonts w:asciiTheme="minorHAnsi" w:hAnsiTheme="minorHAnsi" w:cstheme="minorHAnsi"/>
          <w:b/>
          <w:color w:val="auto"/>
          <w:sz w:val="22"/>
        </w:rPr>
      </w:pPr>
      <w:bookmarkStart w:id="16" w:name="_Toc161472880"/>
      <w:r w:rsidRPr="000C3365">
        <w:rPr>
          <w:rFonts w:asciiTheme="minorHAnsi" w:hAnsiTheme="minorHAnsi" w:cstheme="minorHAnsi"/>
          <w:b/>
          <w:color w:val="auto"/>
          <w:sz w:val="22"/>
        </w:rPr>
        <w:t>1</w:t>
      </w:r>
      <w:r w:rsidR="001C34BC">
        <w:rPr>
          <w:rFonts w:asciiTheme="minorHAnsi" w:hAnsiTheme="minorHAnsi" w:cstheme="minorHAnsi"/>
          <w:b/>
          <w:color w:val="auto"/>
          <w:sz w:val="22"/>
        </w:rPr>
        <w:t>5</w:t>
      </w:r>
      <w:r w:rsidRPr="000C3365">
        <w:rPr>
          <w:rFonts w:asciiTheme="minorHAnsi" w:hAnsiTheme="minorHAnsi" w:cstheme="minorHAnsi"/>
          <w:b/>
          <w:color w:val="auto"/>
          <w:sz w:val="22"/>
        </w:rPr>
        <w:t>. Partes Relacionadas:</w:t>
      </w:r>
      <w:bookmarkEnd w:id="16"/>
    </w:p>
    <w:p w14:paraId="20438A33" w14:textId="77777777" w:rsidR="007D1E76" w:rsidRPr="00E74967" w:rsidRDefault="007D1E76" w:rsidP="00CB41C4">
      <w:pPr>
        <w:tabs>
          <w:tab w:val="left" w:leader="underscore" w:pos="9639"/>
        </w:tabs>
        <w:spacing w:after="0" w:line="240" w:lineRule="auto"/>
        <w:jc w:val="both"/>
        <w:rPr>
          <w:rFonts w:cs="Calibri"/>
        </w:rPr>
      </w:pPr>
    </w:p>
    <w:p w14:paraId="5A1981F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 establecer por escrito que no existen partes relacionadas que pudieran ejercer influencia significativa sobre la toma de decisiones financieras y operativas:</w:t>
      </w:r>
    </w:p>
    <w:p w14:paraId="1F9AFC54" w14:textId="439DD097" w:rsidR="007D1E76" w:rsidRPr="00E74967" w:rsidRDefault="00017F5B" w:rsidP="00CB41C4">
      <w:pPr>
        <w:tabs>
          <w:tab w:val="left" w:leader="underscore" w:pos="9639"/>
        </w:tabs>
        <w:spacing w:after="0" w:line="240" w:lineRule="auto"/>
        <w:jc w:val="both"/>
        <w:rPr>
          <w:rFonts w:cs="Calibri"/>
        </w:rPr>
      </w:pPr>
      <w:r>
        <w:rPr>
          <w:rFonts w:cs="Calibri"/>
        </w:rPr>
        <w:t>No aplica</w:t>
      </w:r>
    </w:p>
    <w:p w14:paraId="17CEED12" w14:textId="77777777" w:rsidR="007D1E76" w:rsidRPr="00E74967" w:rsidRDefault="007D1E76" w:rsidP="00CB41C4">
      <w:pPr>
        <w:tabs>
          <w:tab w:val="left" w:leader="underscore" w:pos="9639"/>
        </w:tabs>
        <w:spacing w:after="0" w:line="240" w:lineRule="auto"/>
        <w:jc w:val="both"/>
        <w:rPr>
          <w:rFonts w:cs="Calibri"/>
        </w:rPr>
      </w:pPr>
    </w:p>
    <w:p w14:paraId="78699B1C" w14:textId="77777777" w:rsidR="007D1E76" w:rsidRPr="00E74967" w:rsidRDefault="007D1E76" w:rsidP="00CB41C4">
      <w:pPr>
        <w:tabs>
          <w:tab w:val="left" w:leader="underscore" w:pos="9639"/>
        </w:tabs>
        <w:spacing w:after="0" w:line="240" w:lineRule="auto"/>
        <w:jc w:val="both"/>
        <w:rPr>
          <w:rFonts w:cs="Calibri"/>
        </w:rPr>
      </w:pPr>
    </w:p>
    <w:p w14:paraId="06707DA2" w14:textId="111599B2" w:rsidR="007D1E76" w:rsidRPr="00F46719" w:rsidRDefault="007D1E76" w:rsidP="00F46719">
      <w:pPr>
        <w:pStyle w:val="Ttulo2"/>
        <w:rPr>
          <w:rFonts w:asciiTheme="minorHAnsi" w:hAnsiTheme="minorHAnsi" w:cstheme="minorHAnsi"/>
          <w:b/>
          <w:color w:val="auto"/>
          <w:sz w:val="22"/>
        </w:rPr>
      </w:pPr>
      <w:bookmarkStart w:id="17" w:name="_Toc161472881"/>
      <w:r w:rsidRPr="00F46719">
        <w:rPr>
          <w:rFonts w:asciiTheme="minorHAnsi" w:hAnsiTheme="minorHAnsi" w:cstheme="minorHAnsi"/>
          <w:b/>
          <w:color w:val="auto"/>
          <w:sz w:val="22"/>
        </w:rPr>
        <w:lastRenderedPageBreak/>
        <w:t>1</w:t>
      </w:r>
      <w:r w:rsidR="001C34BC">
        <w:rPr>
          <w:rFonts w:asciiTheme="minorHAnsi" w:hAnsiTheme="minorHAnsi" w:cstheme="minorHAnsi"/>
          <w:b/>
          <w:color w:val="auto"/>
          <w:sz w:val="22"/>
        </w:rPr>
        <w:t>6</w:t>
      </w:r>
      <w:r w:rsidRPr="00F46719">
        <w:rPr>
          <w:rFonts w:asciiTheme="minorHAnsi" w:hAnsiTheme="minorHAnsi" w:cstheme="minorHAnsi"/>
          <w:b/>
          <w:color w:val="auto"/>
          <w:sz w:val="22"/>
        </w:rPr>
        <w:t xml:space="preserve">. </w:t>
      </w:r>
      <w:r w:rsidR="001973A2" w:rsidRPr="00F46719">
        <w:rPr>
          <w:rFonts w:asciiTheme="minorHAnsi" w:hAnsiTheme="minorHAnsi" w:cstheme="minorHAnsi"/>
          <w:b/>
          <w:color w:val="auto"/>
          <w:sz w:val="22"/>
        </w:rPr>
        <w:t>Responsabilidad Sobre la Presentación Razonable de la Información Contable</w:t>
      </w:r>
      <w:r w:rsidR="005E231E" w:rsidRPr="00F46719">
        <w:rPr>
          <w:rFonts w:asciiTheme="minorHAnsi" w:hAnsiTheme="minorHAnsi" w:cstheme="minorHAnsi"/>
          <w:b/>
          <w:color w:val="auto"/>
          <w:sz w:val="22"/>
        </w:rPr>
        <w:t>:</w:t>
      </w:r>
      <w:bookmarkEnd w:id="17"/>
    </w:p>
    <w:p w14:paraId="24905817" w14:textId="77777777" w:rsidR="007D1E76" w:rsidRPr="00E74967" w:rsidRDefault="007D1E76" w:rsidP="00CB41C4">
      <w:pPr>
        <w:tabs>
          <w:tab w:val="left" w:leader="underscore" w:pos="9639"/>
        </w:tabs>
        <w:spacing w:after="0" w:line="240" w:lineRule="auto"/>
        <w:jc w:val="both"/>
        <w:rPr>
          <w:rFonts w:cs="Calibri"/>
        </w:rPr>
      </w:pPr>
    </w:p>
    <w:p w14:paraId="50903296" w14:textId="5A74BBD3" w:rsidR="007D1E76" w:rsidRDefault="00C4625D" w:rsidP="00CB41C4">
      <w:pPr>
        <w:tabs>
          <w:tab w:val="left" w:leader="underscore" w:pos="9639"/>
        </w:tabs>
        <w:spacing w:after="0" w:line="240" w:lineRule="auto"/>
        <w:jc w:val="both"/>
        <w:rPr>
          <w:rFonts w:cs="Calibri"/>
        </w:rPr>
      </w:pPr>
      <w:r w:rsidRPr="00C4625D">
        <w:rPr>
          <w:rFonts w:cs="Calibri"/>
        </w:rPr>
        <w:t>La Información Contable deberá estar firmada en cada página de la misma e incluir al final la siguiente leyenda: “Bajo protesta de decir verdad declaramos que los Estados Financieros y sus notas, son razonablemente correctos y son responsabilidad del emisor”. Lo anterior, no será aplicable para la información contable consolidada</w:t>
      </w:r>
      <w:r w:rsidR="001973A2" w:rsidRPr="001973A2">
        <w:rPr>
          <w:rFonts w:cs="Calibri"/>
        </w:rPr>
        <w:t>.</w:t>
      </w:r>
    </w:p>
    <w:p w14:paraId="2092EF68" w14:textId="6DC05DAB" w:rsidR="00D5018E" w:rsidRDefault="00D5018E" w:rsidP="00D5018E">
      <w:pPr>
        <w:pBdr>
          <w:bottom w:val="single" w:sz="12" w:space="1" w:color="auto"/>
        </w:pBdr>
        <w:tabs>
          <w:tab w:val="left" w:leader="underscore" w:pos="9639"/>
        </w:tabs>
        <w:spacing w:after="0" w:line="240" w:lineRule="auto"/>
        <w:jc w:val="both"/>
        <w:rPr>
          <w:rFonts w:cs="Calibri"/>
        </w:rPr>
      </w:pPr>
    </w:p>
    <w:p w14:paraId="07D666EE" w14:textId="47376B0A" w:rsidR="00F07C43" w:rsidRDefault="00F07C43" w:rsidP="00D5018E">
      <w:pPr>
        <w:pBdr>
          <w:bottom w:val="single" w:sz="12" w:space="1" w:color="auto"/>
        </w:pBdr>
        <w:tabs>
          <w:tab w:val="left" w:leader="underscore" w:pos="9639"/>
        </w:tabs>
        <w:spacing w:after="0" w:line="240" w:lineRule="auto"/>
        <w:jc w:val="both"/>
        <w:rPr>
          <w:rFonts w:cs="Calibri"/>
        </w:rPr>
      </w:pPr>
      <w:bookmarkStart w:id="18" w:name="_GoBack"/>
      <w:bookmarkEnd w:id="18"/>
    </w:p>
    <w:sectPr w:rsidR="00F07C43" w:rsidSect="0012405A">
      <w:headerReference w:type="default" r:id="rId17"/>
      <w:footerReference w:type="default" r:id="rId18"/>
      <w:pgSz w:w="12240" w:h="15840" w:code="1"/>
      <w:pgMar w:top="1418" w:right="1134" w:bottom="1134"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7E2300" w14:textId="77777777" w:rsidR="00A62F0E" w:rsidRDefault="00A62F0E" w:rsidP="00E00323">
      <w:pPr>
        <w:spacing w:after="0" w:line="240" w:lineRule="auto"/>
      </w:pPr>
      <w:r>
        <w:separator/>
      </w:r>
    </w:p>
  </w:endnote>
  <w:endnote w:type="continuationSeparator" w:id="0">
    <w:p w14:paraId="26C0875C" w14:textId="77777777" w:rsidR="00A62F0E" w:rsidRDefault="00A62F0E"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64267310"/>
      <w:docPartObj>
        <w:docPartGallery w:val="Page Numbers (Bottom of Page)"/>
        <w:docPartUnique/>
      </w:docPartObj>
    </w:sdtPr>
    <w:sdtEndPr/>
    <w:sdtContent>
      <w:p w14:paraId="45A1378E" w14:textId="3208FEF5" w:rsidR="0012405A" w:rsidRDefault="0012405A">
        <w:pPr>
          <w:pStyle w:val="Piedepgina"/>
          <w:jc w:val="right"/>
        </w:pPr>
        <w:r>
          <w:fldChar w:fldCharType="begin"/>
        </w:r>
        <w:r>
          <w:instrText>PAGE   \* MERGEFORMAT</w:instrText>
        </w:r>
        <w:r>
          <w:fldChar w:fldCharType="separate"/>
        </w:r>
        <w:r w:rsidR="00A730E0" w:rsidRPr="00A730E0">
          <w:rPr>
            <w:noProof/>
            <w:lang w:val="es-ES"/>
          </w:rPr>
          <w:t>1</w:t>
        </w:r>
        <w:r>
          <w:fldChar w:fldCharType="end"/>
        </w:r>
      </w:p>
    </w:sdtContent>
  </w:sdt>
  <w:p w14:paraId="37983FFD" w14:textId="77777777" w:rsidR="0012405A" w:rsidRDefault="0012405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0D60C9" w14:textId="77777777" w:rsidR="00A62F0E" w:rsidRDefault="00A62F0E" w:rsidP="00E00323">
      <w:pPr>
        <w:spacing w:after="0" w:line="240" w:lineRule="auto"/>
      </w:pPr>
      <w:r>
        <w:separator/>
      </w:r>
    </w:p>
  </w:footnote>
  <w:footnote w:type="continuationSeparator" w:id="0">
    <w:p w14:paraId="7DEB3459" w14:textId="77777777" w:rsidR="00A62F0E" w:rsidRDefault="00A62F0E" w:rsidP="00E00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5C548F" w14:textId="763A7BAB" w:rsidR="00154BA3" w:rsidRDefault="005337A9" w:rsidP="00A4610E">
    <w:pPr>
      <w:pStyle w:val="Encabezado"/>
      <w:spacing w:after="0" w:line="240" w:lineRule="auto"/>
      <w:jc w:val="center"/>
    </w:pPr>
    <w:r>
      <w:t>Sistema Municipal de Agua Potable y Alcantarillado de Moroleón</w:t>
    </w:r>
  </w:p>
  <w:p w14:paraId="651A4C4F" w14:textId="50C61BF1" w:rsidR="00A4610E" w:rsidRDefault="00A4610E" w:rsidP="00A4610E">
    <w:pPr>
      <w:pStyle w:val="Encabezado"/>
      <w:spacing w:after="0" w:line="240" w:lineRule="auto"/>
      <w:jc w:val="center"/>
    </w:pPr>
    <w:r w:rsidRPr="00A4610E">
      <w:t>CORRESPONDI</w:t>
    </w:r>
    <w:r w:rsidR="00DD018C">
      <w:t>E</w:t>
    </w:r>
    <w:r w:rsidRPr="00A4610E">
      <w:t xml:space="preserve">NTES AL </w:t>
    </w:r>
    <w:r w:rsidR="005337A9">
      <w:t>31 DE MARZO</w:t>
    </w:r>
    <w:r w:rsidR="00EE1E17">
      <w:t xml:space="preserve"> DE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E76"/>
    <w:rsid w:val="00017F5B"/>
    <w:rsid w:val="000310EF"/>
    <w:rsid w:val="00040D4F"/>
    <w:rsid w:val="00084EAE"/>
    <w:rsid w:val="00091CE6"/>
    <w:rsid w:val="000B7810"/>
    <w:rsid w:val="000C3365"/>
    <w:rsid w:val="000C766F"/>
    <w:rsid w:val="00106EE9"/>
    <w:rsid w:val="0012405A"/>
    <w:rsid w:val="0012493A"/>
    <w:rsid w:val="00154BA3"/>
    <w:rsid w:val="001973A2"/>
    <w:rsid w:val="001C34BC"/>
    <w:rsid w:val="001C710C"/>
    <w:rsid w:val="001C75F2"/>
    <w:rsid w:val="001D2063"/>
    <w:rsid w:val="001D43E9"/>
    <w:rsid w:val="00231FBE"/>
    <w:rsid w:val="00232175"/>
    <w:rsid w:val="0024740E"/>
    <w:rsid w:val="002722DD"/>
    <w:rsid w:val="00295B72"/>
    <w:rsid w:val="003453CA"/>
    <w:rsid w:val="00396D53"/>
    <w:rsid w:val="003E6C64"/>
    <w:rsid w:val="0043078C"/>
    <w:rsid w:val="00435A87"/>
    <w:rsid w:val="004A1077"/>
    <w:rsid w:val="004A58C8"/>
    <w:rsid w:val="004F234D"/>
    <w:rsid w:val="004F6FAC"/>
    <w:rsid w:val="005053EE"/>
    <w:rsid w:val="00516100"/>
    <w:rsid w:val="00516A8F"/>
    <w:rsid w:val="005337A9"/>
    <w:rsid w:val="00540261"/>
    <w:rsid w:val="0054701E"/>
    <w:rsid w:val="005B5531"/>
    <w:rsid w:val="005D3E43"/>
    <w:rsid w:val="005E231E"/>
    <w:rsid w:val="005F2900"/>
    <w:rsid w:val="005F51CC"/>
    <w:rsid w:val="0064059E"/>
    <w:rsid w:val="00657009"/>
    <w:rsid w:val="00681C79"/>
    <w:rsid w:val="00684909"/>
    <w:rsid w:val="006B1ADF"/>
    <w:rsid w:val="006F0687"/>
    <w:rsid w:val="006F77A8"/>
    <w:rsid w:val="007610BC"/>
    <w:rsid w:val="007714AB"/>
    <w:rsid w:val="007D1E76"/>
    <w:rsid w:val="007D4484"/>
    <w:rsid w:val="007E38A2"/>
    <w:rsid w:val="007F699D"/>
    <w:rsid w:val="00806269"/>
    <w:rsid w:val="0086420E"/>
    <w:rsid w:val="0086459F"/>
    <w:rsid w:val="008C3BB8"/>
    <w:rsid w:val="008D4E72"/>
    <w:rsid w:val="008E076C"/>
    <w:rsid w:val="0092765C"/>
    <w:rsid w:val="00967DDA"/>
    <w:rsid w:val="009736CB"/>
    <w:rsid w:val="00994E47"/>
    <w:rsid w:val="00A4610E"/>
    <w:rsid w:val="00A62F0E"/>
    <w:rsid w:val="00A6346D"/>
    <w:rsid w:val="00A730E0"/>
    <w:rsid w:val="00AA2768"/>
    <w:rsid w:val="00AA41E5"/>
    <w:rsid w:val="00AB722B"/>
    <w:rsid w:val="00AE1F6A"/>
    <w:rsid w:val="00AF4375"/>
    <w:rsid w:val="00B073DE"/>
    <w:rsid w:val="00B30FC3"/>
    <w:rsid w:val="00B6368B"/>
    <w:rsid w:val="00BA53FE"/>
    <w:rsid w:val="00BE02EB"/>
    <w:rsid w:val="00C4250B"/>
    <w:rsid w:val="00C4625D"/>
    <w:rsid w:val="00C54C12"/>
    <w:rsid w:val="00C93C67"/>
    <w:rsid w:val="00C97E1E"/>
    <w:rsid w:val="00CA52D8"/>
    <w:rsid w:val="00CB41C4"/>
    <w:rsid w:val="00CF1316"/>
    <w:rsid w:val="00D13C44"/>
    <w:rsid w:val="00D32331"/>
    <w:rsid w:val="00D40FC2"/>
    <w:rsid w:val="00D5018E"/>
    <w:rsid w:val="00D546B2"/>
    <w:rsid w:val="00D975B1"/>
    <w:rsid w:val="00DD018C"/>
    <w:rsid w:val="00DF28AC"/>
    <w:rsid w:val="00E00323"/>
    <w:rsid w:val="00E11758"/>
    <w:rsid w:val="00E74967"/>
    <w:rsid w:val="00E7559F"/>
    <w:rsid w:val="00E85520"/>
    <w:rsid w:val="00E9132F"/>
    <w:rsid w:val="00EA37F5"/>
    <w:rsid w:val="00EA7915"/>
    <w:rsid w:val="00ED7AA0"/>
    <w:rsid w:val="00EE02E8"/>
    <w:rsid w:val="00EE1E17"/>
    <w:rsid w:val="00F067C8"/>
    <w:rsid w:val="00F07C43"/>
    <w:rsid w:val="00F43AC5"/>
    <w:rsid w:val="00F46719"/>
    <w:rsid w:val="00F54F6F"/>
    <w:rsid w:val="00F6102D"/>
    <w:rsid w:val="00F65A92"/>
    <w:rsid w:val="00F6759B"/>
    <w:rsid w:val="00FC1AE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47DA28"/>
  <w15:chartTrackingRefBased/>
  <w15:docId w15:val="{23FE9072-35B7-45F9-8FCE-9AFD1097D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package" Target="embeddings/Microsoft_Excel_Worksheet1.xlsx"/><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acorona/lquiroz/AppData/Local/Microsoft/Windows/Temporary%20Internet%20Files/Content.Outlook/HBGSO9P3/MODELO%20CTA%202013.pptx" TargetMode="External"/><Relationship Id="rId5" Type="http://schemas.openxmlformats.org/officeDocument/2006/relationships/numbering" Target="numbering.xml"/><Relationship Id="rId15" Type="http://schemas.openxmlformats.org/officeDocument/2006/relationships/image" Target="media/image3.emf"/><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Excel_Worksheet.xlsx"/></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x00bf_Formatomodificado_x003f_ xmlns="0c865bf4-0f22-4e4d-b041-7b0c1657e5a8">true</_x00bf_Formatomodificado_x003f_>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4D3CCCD0CFC8E48A23B0770796809E1" ma:contentTypeVersion="11" ma:contentTypeDescription="Crear nuevo documento." ma:contentTypeScope="" ma:versionID="bf3a443534d628b30ad7b72686e46350">
  <xsd:schema xmlns:xsd="http://www.w3.org/2001/XMLSchema" xmlns:xs="http://www.w3.org/2001/XMLSchema" xmlns:p="http://schemas.microsoft.com/office/2006/metadata/properties" xmlns:ns2="0c865bf4-0f22-4e4d-b041-7b0c1657e5a8" xmlns:ns3="6aa8a68a-ab09-4ac8-a697-fdce915bc567" targetNamespace="http://schemas.microsoft.com/office/2006/metadata/properties" ma:root="true" ma:fieldsID="cb5505446f330f50c51622ed5cc53a4b" ns2:_="" ns3:_="">
    <xsd:import namespace="0c865bf4-0f22-4e4d-b041-7b0c1657e5a8"/>
    <xsd:import namespace="6aa8a68a-ab09-4ac8-a697-fdce915bc56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LengthInSeconds" minOccurs="0"/>
                <xsd:element ref="ns2:MediaServiceDateTaken" minOccurs="0"/>
                <xsd:element ref="ns2:MediaServiceObjectDetectorVersions" minOccurs="0"/>
                <xsd:element ref="ns2:MediaServiceGenerationTime" minOccurs="0"/>
                <xsd:element ref="ns2:MediaServiceEventHashCode" minOccurs="0"/>
                <xsd:element ref="ns3:SharedWithUsers" minOccurs="0"/>
                <xsd:element ref="ns3:SharedWithDetails" minOccurs="0"/>
                <xsd:element ref="ns2:_x00bf_Formatomodificado_x003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865bf4-0f22-4e4d-b041-7b0c1657e5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_x00bf_Formatomodificado_x003f_" ma:index="18" nillable="true" ma:displayName="¿Formato modificado?" ma:default="1" ma:format="Dropdown" ma:internalName="_x00bf_Formatomodificado_x003f_">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aa8a68a-ab09-4ac8-a697-fdce915bc567"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2.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 ds:uri="0c865bf4-0f22-4e4d-b041-7b0c1657e5a8"/>
  </ds:schemaRefs>
</ds:datastoreItem>
</file>

<file path=customXml/itemProps3.xml><?xml version="1.0" encoding="utf-8"?>
<ds:datastoreItem xmlns:ds="http://schemas.openxmlformats.org/officeDocument/2006/customXml" ds:itemID="{555B9485-7FE9-43F0-809A-30EC26A19B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865bf4-0f22-4e4d-b041-7b0c1657e5a8"/>
    <ds:schemaRef ds:uri="6aa8a68a-ab09-4ac8-a697-fdce915bc5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8E75139-05BB-417E-B4EE-590E21A86A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255</TotalTime>
  <Pages>12</Pages>
  <Words>3899</Words>
  <Characters>21449</Characters>
  <Application>Microsoft Office Word</Application>
  <DocSecurity>0</DocSecurity>
  <Lines>178</Lines>
  <Paragraphs>50</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25298</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Server</cp:lastModifiedBy>
  <cp:revision>73</cp:revision>
  <dcterms:created xsi:type="dcterms:W3CDTF">2017-01-12T05:27:00Z</dcterms:created>
  <dcterms:modified xsi:type="dcterms:W3CDTF">2024-04-23T16:22:00Z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0x010100F4D3CCCD0CFC8E48A23B0770796809E1</vt:lpwstr>
  </property>
</Properties>
</file>