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E40CAE5" w:rsidR="000B7810" w:rsidRPr="00657009" w:rsidRDefault="006838AA"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7472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7472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7472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7472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7472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7472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7472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7472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7472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7472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7472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7472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7472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7472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7472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7472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7472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4631CC" w14:textId="77777777" w:rsidR="00925B68" w:rsidRPr="00E74967" w:rsidRDefault="00925B68" w:rsidP="00925B68">
      <w:pPr>
        <w:tabs>
          <w:tab w:val="left" w:leader="underscore" w:pos="9639"/>
        </w:tabs>
        <w:spacing w:after="0" w:line="240" w:lineRule="auto"/>
        <w:jc w:val="both"/>
        <w:rPr>
          <w:rFonts w:cs="Calibri"/>
        </w:rPr>
      </w:pPr>
    </w:p>
    <w:p w14:paraId="64F117E7" w14:textId="77777777" w:rsidR="00925B68" w:rsidRDefault="00925B68" w:rsidP="00925B68">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102EECFC" w14:textId="77777777" w:rsidR="00925B68" w:rsidRDefault="00925B68" w:rsidP="00925B68">
      <w:pPr>
        <w:spacing w:after="0" w:line="240" w:lineRule="auto"/>
        <w:jc w:val="both"/>
        <w:rPr>
          <w:rFonts w:cs="Calibri"/>
        </w:rPr>
      </w:pPr>
    </w:p>
    <w:p w14:paraId="734640E2" w14:textId="77777777" w:rsidR="00925B68" w:rsidRDefault="00925B68" w:rsidP="00925B68">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93406ED" w14:textId="77777777" w:rsidR="00925B68" w:rsidRDefault="00925B68" w:rsidP="00925B68">
      <w:pPr>
        <w:spacing w:after="0" w:line="240" w:lineRule="auto"/>
        <w:jc w:val="both"/>
        <w:rPr>
          <w:rFonts w:cs="Calibri"/>
        </w:rPr>
      </w:pPr>
    </w:p>
    <w:p w14:paraId="0BFA9070" w14:textId="77777777" w:rsidR="00925B68" w:rsidRPr="00E74967" w:rsidRDefault="00925B68" w:rsidP="00925B68">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2683C01A" w14:textId="77777777" w:rsidR="00925B68" w:rsidRDefault="00925B68" w:rsidP="00925B68">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0F695C05"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7FBDBEB" w14:textId="7430B7BC" w:rsidR="00925B68" w:rsidRDefault="00925B68" w:rsidP="00CB41C4">
      <w:pPr>
        <w:tabs>
          <w:tab w:val="left" w:leader="underscore" w:pos="9639"/>
        </w:tabs>
        <w:spacing w:after="0" w:line="240" w:lineRule="auto"/>
        <w:jc w:val="both"/>
        <w:rPr>
          <w:rFonts w:cs="Calibri"/>
        </w:rPr>
      </w:pPr>
    </w:p>
    <w:p w14:paraId="7A7401E1" w14:textId="28B4C351" w:rsidR="00925B68" w:rsidRDefault="00925B68" w:rsidP="00925B68">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39B5CDF9" w14:textId="77777777" w:rsidR="00925B68" w:rsidRPr="001A0994" w:rsidRDefault="00925B68" w:rsidP="001A0994">
      <w:pPr>
        <w:spacing w:after="0" w:line="240" w:lineRule="auto"/>
        <w:jc w:val="both"/>
        <w:rPr>
          <w:rFonts w:asciiTheme="minorHAnsi" w:hAnsiTheme="minorHAnsi" w:cstheme="minorHAnsi"/>
        </w:rPr>
      </w:pPr>
    </w:p>
    <w:p w14:paraId="713F69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fundamento en el Artículo  38 fracción III del Código Territorial para el Estado y los Municipios de Guanajuato, elaboramos el estudio tarifario a los servicios públicos para establecer los alcances y efectos de nuestro presupuesto para el ejercicio 2023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los siguientes razonamientos:</w:t>
      </w:r>
    </w:p>
    <w:p w14:paraId="3866EC53" w14:textId="77777777" w:rsidR="00925B68" w:rsidRPr="001A0994" w:rsidRDefault="00925B68" w:rsidP="001A0994">
      <w:pPr>
        <w:tabs>
          <w:tab w:val="left" w:leader="underscore" w:pos="9639"/>
        </w:tabs>
        <w:spacing w:after="0" w:line="240" w:lineRule="auto"/>
        <w:jc w:val="both"/>
        <w:rPr>
          <w:rFonts w:asciiTheme="minorHAnsi" w:hAnsiTheme="minorHAnsi" w:cstheme="minorHAnsi"/>
        </w:rPr>
      </w:pPr>
    </w:p>
    <w:p w14:paraId="7049AF54" w14:textId="77777777" w:rsidR="00925B68" w:rsidRPr="001A0994" w:rsidRDefault="00925B68" w:rsidP="001A0994">
      <w:pPr>
        <w:spacing w:after="0" w:line="360" w:lineRule="auto"/>
        <w:jc w:val="center"/>
        <w:rPr>
          <w:rFonts w:asciiTheme="minorHAnsi" w:hAnsiTheme="minorHAnsi" w:cstheme="minorHAnsi"/>
        </w:rPr>
      </w:pPr>
      <w:r w:rsidRPr="001A0994">
        <w:rPr>
          <w:rFonts w:asciiTheme="minorHAnsi" w:hAnsiTheme="minorHAnsi" w:cstheme="minorHAnsi"/>
          <w:b/>
          <w:bCs/>
        </w:rPr>
        <w:t>Exposición de motivos</w:t>
      </w:r>
    </w:p>
    <w:p w14:paraId="55D8101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tiene un nuevo concepto de tributación relativo al drenaje pluvial y todos los incrementos propuestos están por debajo del INPC. </w:t>
      </w:r>
    </w:p>
    <w:p w14:paraId="5CEE35D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 xml:space="preserve">Sin embargo, en cumplimiento a lo dispuesto por el artículo y ley referida, expresamos lo siguiente: </w:t>
      </w:r>
    </w:p>
    <w:p w14:paraId="39938F9B" w14:textId="77777777" w:rsidR="00925B68" w:rsidRPr="001A0994" w:rsidRDefault="00925B68" w:rsidP="001A0994">
      <w:pPr>
        <w:spacing w:after="0" w:line="360" w:lineRule="auto"/>
        <w:jc w:val="both"/>
        <w:rPr>
          <w:rFonts w:asciiTheme="minorHAnsi" w:hAnsiTheme="minorHAnsi" w:cstheme="minorHAnsi"/>
        </w:rPr>
      </w:pPr>
    </w:p>
    <w:p w14:paraId="6CF910BC"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 Impacto jurídico</w:t>
      </w:r>
    </w:p>
    <w:p w14:paraId="2A03FDE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763129D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571FE90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Damos también cumplimiento al Código Territorial para el Estado y los Municipios de Guanajuato que establece las condiciones generales para la prestación del servicio, así como las referencias sobre el proceso para la autorización de tarifas y las características que éstas deben tener.</w:t>
      </w:r>
    </w:p>
    <w:p w14:paraId="7E3BF1E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5CBB4F5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18E03166" w14:textId="77777777" w:rsidR="00925B68" w:rsidRPr="001A0994" w:rsidRDefault="00925B68" w:rsidP="001A0994">
      <w:pPr>
        <w:spacing w:after="0" w:line="360" w:lineRule="auto"/>
        <w:jc w:val="both"/>
        <w:rPr>
          <w:rFonts w:asciiTheme="minorHAnsi" w:hAnsiTheme="minorHAnsi" w:cstheme="minorHAnsi"/>
        </w:rPr>
      </w:pPr>
    </w:p>
    <w:p w14:paraId="6BD3D9A3"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 Impacto administrativo.</w:t>
      </w:r>
    </w:p>
    <w:p w14:paraId="39513C4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Al no existir cambios de mecánica de cobros no se tiene ningún efecto para la modificación del sistema comercial ni del sistema administrativo, ya que se conserva la estructura y mecánica de cobros con las consideraciones de incremento máximo del 5% para los servicios operativos y administrativos.</w:t>
      </w:r>
    </w:p>
    <w:p w14:paraId="7C821F38" w14:textId="77777777" w:rsidR="00925B68" w:rsidRPr="001A0994" w:rsidRDefault="00925B68" w:rsidP="001A0994">
      <w:pPr>
        <w:spacing w:after="0" w:line="360" w:lineRule="auto"/>
        <w:jc w:val="both"/>
        <w:rPr>
          <w:rFonts w:asciiTheme="minorHAnsi" w:hAnsiTheme="minorHAnsi" w:cstheme="minorHAnsi"/>
        </w:rPr>
      </w:pPr>
    </w:p>
    <w:p w14:paraId="26F4A6B9"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III.- Impacto Presupuestario.</w:t>
      </w:r>
    </w:p>
    <w:p w14:paraId="12ACD8F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No habiendo impactos en los incrementos ni ajustes a las mecánicas de aplicación, únicamente se genera un nuevo ingreso derivado del concepto de cobro adicional para el drenaje pluvial en un monto estimado de $ 635,363 pesos, y para tal efecto se presenta, paralelo a este documento, el pronóstico de ingresos que deriva de la aplicación de la iniciativa presentada para el caso de que fuera aprobada.</w:t>
      </w:r>
    </w:p>
    <w:p w14:paraId="0C0BE900"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lastRenderedPageBreak/>
        <w:t>IV.- Impacto Social.</w:t>
      </w:r>
    </w:p>
    <w:p w14:paraId="3FF66F1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operación de nuestra infraestructura va encaminada a suministrar los servicios públicos más necesarios para la vida y salud de los habitantes de Moroleón, teniendo como objetivo primordial el suministro de agua potable, la descarga de aguas residuales y su tratamiento, mediante lo cual generamos salud y bienestar a la población.</w:t>
      </w:r>
    </w:p>
    <w:p w14:paraId="6C112AEF" w14:textId="77777777" w:rsidR="00925B68" w:rsidRPr="001A0994" w:rsidRDefault="00925B68" w:rsidP="001A0994">
      <w:pPr>
        <w:spacing w:after="0" w:line="360" w:lineRule="auto"/>
        <w:jc w:val="both"/>
        <w:rPr>
          <w:rFonts w:asciiTheme="minorHAnsi" w:hAnsiTheme="minorHAnsi" w:cstheme="minorHAnsi"/>
        </w:rPr>
      </w:pPr>
    </w:p>
    <w:p w14:paraId="69A901A4"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Para el SMAPAM sigue siendo fundamental establecer en estos momentos un esquema tarifario acorde a las condiciones sociales, económicas y sanitarias generadas por los efectos aún presentes de la pasada pandemia que se ha presentado en todo el mundo y que afecta a todos por igual, pero que tienen incidencia y consecuencias de mayor impacto en las familias de escasos recursos.</w:t>
      </w:r>
    </w:p>
    <w:p w14:paraId="13B0E34C" w14:textId="77777777" w:rsidR="00925B68" w:rsidRPr="001A0994" w:rsidRDefault="00925B68" w:rsidP="001A0994">
      <w:pPr>
        <w:spacing w:after="0" w:line="360" w:lineRule="auto"/>
        <w:contextualSpacing/>
        <w:jc w:val="both"/>
        <w:rPr>
          <w:rFonts w:asciiTheme="minorHAnsi" w:hAnsiTheme="minorHAnsi" w:cstheme="minorHAnsi"/>
        </w:rPr>
      </w:pPr>
    </w:p>
    <w:p w14:paraId="040C919C"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Los efectos de la pandemia durante los años 2020 y 2021, y lo que va del 2022, han generado condiciones complicadas en términos de los ingresos para un gran número de familias, sin duda que ese es un factor que considerar aun cuando estemos ante un proceso de ajuste a la Ley de Ingresos donde se tiene el reto de enfrentar los efectos de los incrementos que los costos generan en la prestación de los servicios.</w:t>
      </w:r>
    </w:p>
    <w:p w14:paraId="713ACD95" w14:textId="77777777" w:rsidR="00925B68" w:rsidRPr="001A0994" w:rsidRDefault="00925B68" w:rsidP="001A0994">
      <w:pPr>
        <w:spacing w:after="0"/>
        <w:rPr>
          <w:rFonts w:asciiTheme="minorHAnsi" w:hAnsiTheme="minorHAnsi" w:cstheme="minorHAnsi"/>
        </w:rPr>
      </w:pPr>
    </w:p>
    <w:p w14:paraId="77EDCB0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7891EB8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Y tal como sucedió en los años 2020 y 2021, se siguen teniendo en 2022 efectos derivados de la modificación en las demandas de agua de los diferentes núcleos de la población.</w:t>
      </w:r>
    </w:p>
    <w:p w14:paraId="1106B31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4910CFE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Esto obedece a </w:t>
      </w:r>
      <w:proofErr w:type="gramStart"/>
      <w:r w:rsidRPr="001A0994">
        <w:rPr>
          <w:rFonts w:asciiTheme="minorHAnsi" w:hAnsiTheme="minorHAnsi" w:cstheme="minorHAnsi"/>
        </w:rPr>
        <w:t>que</w:t>
      </w:r>
      <w:proofErr w:type="gramEnd"/>
      <w:r w:rsidRPr="001A0994">
        <w:rPr>
          <w:rFonts w:asciiTheme="minorHAnsi" w:hAnsiTheme="minorHAnsi" w:cstheme="minorHAnsi"/>
        </w:rPr>
        <w:t xml:space="preserv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2505596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594418B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474085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12706A0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7DA0CE3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Estas familias que por alguna razón se ven imposibilitadas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 siendo flexibles en el otorgamiento de convenios de pago para amortiguar el impacto en cierto tipo de usuarios que se le dificulta el pago del servicio.</w:t>
      </w:r>
    </w:p>
    <w:p w14:paraId="1D13B98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18C0FD4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3EC278F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 anterior significa que dentro del plan de tarifas para el año 2023, se está proponiendo que se aplique solamente un incremento del 5 % a las tarifas y de conservar la indexación del 0.8% bimestral. Cabe destacar que el consumo equivalente a veinte o menos metros cúbicos al bimestre de nuestros usuarios contiene prácticamente el 60% de nuestro total de usuarios domésticos.</w:t>
      </w:r>
    </w:p>
    <w:p w14:paraId="45A6AD1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64A0DC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en la operación y en todo aquello que forma parte de los componentes materiales y humanos necesarios para seguir operando.</w:t>
      </w:r>
    </w:p>
    <w:p w14:paraId="01FFC3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este sentido es que proponemos que se mantenga la indexación del 0.8% bimestral y que compensaría parte de los incrementos que hayamos tenido en el transcurso de este año, y que se acentuarán conforme pasen los meses finales del 2022, pero tendrán efectos mayores para el año 2023 que es el periodo tal cual se está presentando esta iniciativa.</w:t>
      </w:r>
    </w:p>
    <w:p w14:paraId="4BEC38D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el análisis de costos que realizamos anualmente para ver los efectos que tiene en nuestro gasto corriente el incremento de los materiales e insumos para prestación del servicio, tenemos cuatro grupos de gastos perfectamente identificados:</w:t>
      </w:r>
    </w:p>
    <w:p w14:paraId="404DC177"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1) el gasto en recursos humanos, </w:t>
      </w:r>
    </w:p>
    <w:p w14:paraId="0203BA8A"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2) energía eléctrica para la extracción, conducción y distribución del agua potable,</w:t>
      </w:r>
    </w:p>
    <w:p w14:paraId="6417FE7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3) materiales y suministros para la operación y el mantenimiento, </w:t>
      </w:r>
    </w:p>
    <w:p w14:paraId="078A469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4) y los derechos de extracción que se deben pagar a la federación.</w:t>
      </w:r>
    </w:p>
    <w:p w14:paraId="5EC30F81" w14:textId="77777777" w:rsidR="00925B68" w:rsidRPr="001A0994" w:rsidRDefault="00925B68" w:rsidP="001A0994">
      <w:pPr>
        <w:spacing w:after="0" w:line="360" w:lineRule="auto"/>
        <w:jc w:val="both"/>
        <w:rPr>
          <w:rFonts w:asciiTheme="minorHAnsi" w:hAnsiTheme="minorHAnsi" w:cstheme="minorHAnsi"/>
        </w:rPr>
      </w:pPr>
    </w:p>
    <w:p w14:paraId="7C36C35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Del estudio tarifario que realizamos se desprende que nuestros costos han incrementado un 10.27% en el último año. Este impacto se determinó mediante el análisis de los componentes de nuestro gasto corriente en donde los recursos humanos en lo relativo a salarios y prestaciones han tenido un incremento ponderado del 1.29% que resultan de multiplicar la componente del 25.8% que representan con relación al gasto corriente por el factor de incremento anualizado del 5% que tuvo esta partida presupuestal con relación a los egresos.</w:t>
      </w:r>
    </w:p>
    <w:p w14:paraId="5BF0EDF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Aquí vale la pena señalar que tenemos un factor de 3.76 trabajadores por cada mil cuentas y, de acuerdo con los criterios del Banco Mundial, es razonable tener hasta </w:t>
      </w:r>
      <w:r w:rsidRPr="001A0994">
        <w:rPr>
          <w:rFonts w:asciiTheme="minorHAnsi" w:hAnsiTheme="minorHAnsi" w:cstheme="minorHAnsi"/>
          <w:b/>
        </w:rPr>
        <w:t>cuatro</w:t>
      </w:r>
      <w:r w:rsidRPr="001A0994">
        <w:rPr>
          <w:rFonts w:asciiTheme="minorHAnsi" w:hAnsiTheme="minorHAnsi" w:cstheme="minorHAnsi"/>
        </w:rPr>
        <w:t xml:space="preserve"> trabajadores por cada mil cuentas, lo cual significa que nos hemos manejado durante años con niveles de eficiencia en relación a los recursos humanos, lo cual nos permite ser el segundo organismo con mejor nivel en este indicador en el estado de Guanajuato. </w:t>
      </w:r>
    </w:p>
    <w:p w14:paraId="44E7202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energía eléctrica ha incrementado en este periodo un 13.1% y su componente dentro del gasto corriente es del 20.7%, de tal forma que al multiplicar los factores resulta un incremento ponderado del 2.71%.</w:t>
      </w:r>
    </w:p>
    <w:p w14:paraId="71CA8F0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Los costos de materiales e insumos para operación y mantenimiento que representan el 47.2% del gasto corriente, tuvieron un incremento del 12.6% ya que se trata de materiales cuyos costos se vieron afectados por el impacto de precios del mercado nacional e internacional y el incremento ponderado fue del 5.95%.</w:t>
      </w:r>
    </w:p>
    <w:p w14:paraId="02DDE5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Por lo que respecta a los derechos, primordialmente los relativos al uso y aprovechamiento de las aguas nacionales y que se pagan conforme a lo que establece la Ley Federal de Derechos, tuvieron incremento del 5% con una componente dentro del gasto del 6.3% lo que generó un incremento ponderado del 0.32%.</w:t>
      </w:r>
    </w:p>
    <w:p w14:paraId="15AF81EB"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Del análisis realizado observamos que el impacto neto de los costos fue del 10.27%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2023 y ajustar las tarifas por debajo de la inflación existente.</w:t>
      </w:r>
    </w:p>
    <w:p w14:paraId="0917CF6C" w14:textId="77777777" w:rsidR="00925B68" w:rsidRPr="001A0994" w:rsidRDefault="00925B68" w:rsidP="001A0994">
      <w:pPr>
        <w:spacing w:after="0" w:line="360" w:lineRule="auto"/>
        <w:jc w:val="both"/>
        <w:rPr>
          <w:rFonts w:asciiTheme="minorHAnsi" w:hAnsiTheme="minorHAnsi" w:cstheme="minorHAnsi"/>
        </w:rPr>
      </w:pPr>
    </w:p>
    <w:p w14:paraId="717D0B71" w14:textId="77777777" w:rsidR="00925B68" w:rsidRPr="001A0994" w:rsidRDefault="00925B68" w:rsidP="001A0994">
      <w:pPr>
        <w:spacing w:after="0" w:line="360" w:lineRule="auto"/>
        <w:jc w:val="center"/>
        <w:rPr>
          <w:rFonts w:asciiTheme="minorHAnsi" w:hAnsiTheme="minorHAnsi" w:cstheme="minorHAnsi"/>
          <w:b/>
          <w:bCs/>
        </w:rPr>
      </w:pPr>
      <w:r w:rsidRPr="001A0994">
        <w:rPr>
          <w:rFonts w:asciiTheme="minorHAnsi" w:hAnsiTheme="minorHAnsi" w:cstheme="minorHAnsi"/>
          <w:b/>
          <w:bCs/>
        </w:rPr>
        <w:t>De la propuesta al Artículo 14 de la ley de ingresos</w:t>
      </w:r>
    </w:p>
    <w:p w14:paraId="652CEA8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la prestación de servicios de suministro potable contenidos en la fracción I, estamos proponiendo un incremento del 5 % para todos los giros y mantener la indexación del 0.8 % bimestral.</w:t>
      </w:r>
    </w:p>
    <w:p w14:paraId="072D4BD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Para clarificar lo anterior es importante señalar que el cobro que los usuarios realizan es mediante dos componentes. El primero es una cuota base que se cobra a los usuarios por los servicios de aducción del agua, es decir todo el proceso de extracción, conducción y distribución para hacer llegar hasta su casa y poner a su disposición el agua que habrá de utilizar. </w:t>
      </w:r>
      <w:r w:rsidRPr="001A0994">
        <w:rPr>
          <w:rFonts w:asciiTheme="minorHAnsi" w:hAnsiTheme="minorHAnsi" w:cstheme="minorHAnsi"/>
          <w:b/>
          <w:bCs/>
        </w:rPr>
        <w:t>Esta cuota base</w:t>
      </w:r>
      <w:r w:rsidRPr="001A0994">
        <w:rPr>
          <w:rFonts w:asciiTheme="minorHAnsi" w:hAnsiTheme="minorHAnsi" w:cstheme="minorHAnsi"/>
        </w:rPr>
        <w:t xml:space="preserve"> se integra por los gastos de energía eléctrica que el organismo requiere para realizar la extracción, incluye también los costos operativos de cloración para generar mejores condiciones de potabilización del agua, para posteriormente ser conducida y distribuida en toda la zona urbana.</w:t>
      </w:r>
    </w:p>
    <w:p w14:paraId="6FC2CC3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Hasta ese momento y sin que aún exista consumo, el organismo operador ya ha ejecutado gastos cuyo importe total es dividido en proporción al volumen que a cada giro corresponde y a los usuarios clasificados en cada uno de ellos, de tal manera que el dividir el importe proporcional que corresponda por giro entre el número de usuarios y los 12 meses del año nos genera una cuota base para cada uno de ellos. </w:t>
      </w:r>
    </w:p>
    <w:p w14:paraId="1F226AA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otra componente es el cargo variable y ese se cobra en función del número de metros cúbicos que cada usuario consuma, de esta forma se cumple el propósito de que pague más quien más consuma, pero también se cumple con el principio de equidad en el sentido de que paga menos quien menos consuma.</w:t>
      </w:r>
    </w:p>
    <w:p w14:paraId="0661389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los giros comerciales e industriales se aplica un incremento del      5 % como ya se comentó previamente y la indexación del 0. 8%.</w:t>
      </w:r>
    </w:p>
    <w:p w14:paraId="5AC4E9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En cuanto al servicio de alcantarillado, se mantiene sin incremento alguno (conservando la tasa del 20 % del consumo de agua); y para el tratamiento, se solicita incrementar la tasa del 16 % al 18 % para hacer frente a los gastos operativos crecientes en la PTAR intermunicipal; y solamente los precios contenidos en las fracciones III y IV, que es donde se concentran esos conceptos, tendrán incremento del 5 %.</w:t>
      </w:r>
    </w:p>
    <w:p w14:paraId="4F2F41A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Los cobros relacionados con la emisión de contratos, instalación de ramales para tomas de agua potable, medidores, cuadros de medición, instalación de descargas de agua residual, así como los servicios administrativos y operativos, contenidos en las fracciones de la V a la XI, tendrán un incremento del 5 %.</w:t>
      </w:r>
    </w:p>
    <w:p w14:paraId="62F711F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El pago por incorporación de agua y drenaje que pagan los fraccionadores para obtener el derecho de conectarse a las redes hidráulicas y sanitarias, los cuales se encuentran dentro de la fracción XII, se propone incrementarlos a sus costos marginales respecto a los precios de diciembre del año 2022; con las correspondientes justificaciones acordes con los análisis hechos.</w:t>
      </w:r>
    </w:p>
    <w:p w14:paraId="3B7815B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Dentro de la fracción XIII de servicios operativos y administrativos para desarrollos inmobiliarios de todos los giros, la XIV correspondiente a incorporaciones no habitacionales, la XV en la que se incluyen cobro para incorporación individual, la XVI para venta de agua tratada, se propone para todos ellos un incremento del 5 % y la XVII para parámetros de contaminantes se propone también incrementarla en un 5 %.</w:t>
      </w:r>
    </w:p>
    <w:p w14:paraId="08E57B5A" w14:textId="77777777" w:rsidR="00925B68" w:rsidRPr="001A0994" w:rsidRDefault="00925B68" w:rsidP="001A0994">
      <w:pPr>
        <w:spacing w:after="0" w:line="360" w:lineRule="auto"/>
        <w:jc w:val="both"/>
        <w:rPr>
          <w:rFonts w:asciiTheme="minorHAnsi" w:hAnsiTheme="minorHAnsi" w:cstheme="minorHAnsi"/>
          <w:lang w:val="es-ES"/>
        </w:rPr>
      </w:pPr>
      <w:r w:rsidRPr="001A0994">
        <w:rPr>
          <w:rFonts w:asciiTheme="minorHAnsi" w:hAnsiTheme="minorHAnsi" w:cstheme="minorHAnsi"/>
          <w:lang w:val="es-ES"/>
        </w:rPr>
        <w:t>En la fracción I del artículo 42, para el caso de descuentos a personas adultos mayores y personas de capacidades diferentes se mantienen los beneficios contenidos en la ley vigente.</w:t>
      </w:r>
    </w:p>
    <w:p w14:paraId="66B9E0D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Que por todo lo anteriormente expuesto y basados en el cálculo de precios, es que ponemos a consideración del H. Ayuntamiento, nuestra propuesta de presupuesto de egresos para el ejercicio fiscal 2023 a $56’571,101.00 pesos, con un incremento general del 8.69% en relación al aprobado para el ejercicio fiscal de 2022, dando cumplimiento a las disposiciones normativas que inciden, respetando, como todos los años, el principio de autoridad que debe prevalecer para que esta institución pueda hacer su trabajo de análisis y autorización, en su caso.</w:t>
      </w:r>
    </w:p>
    <w:p w14:paraId="3285DC0B" w14:textId="77777777" w:rsidR="007D1E76" w:rsidRPr="001A0994" w:rsidRDefault="007D1E76" w:rsidP="001A0994">
      <w:pPr>
        <w:tabs>
          <w:tab w:val="left" w:leader="underscore" w:pos="9639"/>
        </w:tabs>
        <w:spacing w:after="0" w:line="240" w:lineRule="auto"/>
        <w:jc w:val="both"/>
        <w:rPr>
          <w:rFonts w:asciiTheme="minorHAnsi" w:hAnsiTheme="minorHAnsi" w:cstheme="minorHAnsi"/>
          <w:lang w:val="es-ES"/>
        </w:rPr>
      </w:pPr>
    </w:p>
    <w:p w14:paraId="54575967" w14:textId="77777777" w:rsidR="007D1E76" w:rsidRPr="001A0994" w:rsidRDefault="007D1E76" w:rsidP="001A0994">
      <w:pPr>
        <w:pStyle w:val="Ttulo2"/>
        <w:spacing w:before="0"/>
        <w:rPr>
          <w:rFonts w:asciiTheme="minorHAnsi" w:hAnsiTheme="minorHAnsi" w:cstheme="minorHAnsi"/>
          <w:b/>
          <w:color w:val="auto"/>
          <w:sz w:val="22"/>
          <w:szCs w:val="22"/>
        </w:rPr>
      </w:pPr>
      <w:bookmarkStart w:id="3" w:name="_Toc508279623"/>
      <w:r w:rsidRPr="001A0994">
        <w:rPr>
          <w:rFonts w:asciiTheme="minorHAnsi" w:hAnsiTheme="minorHAnsi" w:cstheme="minorHAnsi"/>
          <w:b/>
          <w:color w:val="auto"/>
          <w:sz w:val="22"/>
          <w:szCs w:val="22"/>
        </w:rPr>
        <w:t>3. Autoriza</w:t>
      </w:r>
      <w:r w:rsidR="00E00323" w:rsidRPr="001A0994">
        <w:rPr>
          <w:rFonts w:asciiTheme="minorHAnsi" w:hAnsiTheme="minorHAnsi" w:cstheme="minorHAnsi"/>
          <w:b/>
          <w:color w:val="auto"/>
          <w:sz w:val="22"/>
          <w:szCs w:val="22"/>
        </w:rPr>
        <w:t>ción e Historia:</w:t>
      </w:r>
      <w:bookmarkEnd w:id="3"/>
    </w:p>
    <w:p w14:paraId="360DA23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441574C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rPr>
        <w:t>Se informará sobre:</w:t>
      </w:r>
    </w:p>
    <w:p w14:paraId="062E74E7"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F477DA3"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t>a)</w:t>
      </w:r>
      <w:r w:rsidRPr="001A0994">
        <w:rPr>
          <w:rFonts w:asciiTheme="minorHAnsi" w:hAnsiTheme="minorHAnsi" w:cstheme="minorHAnsi"/>
        </w:rPr>
        <w:t xml:space="preserve"> Fecha de creación del ente.</w:t>
      </w:r>
    </w:p>
    <w:p w14:paraId="66EFAB72" w14:textId="77777777" w:rsidR="00925B68" w:rsidRPr="001A0994" w:rsidRDefault="00925B68" w:rsidP="001A0994">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A2353BF"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lastRenderedPageBreak/>
        <w:t>b)</w:t>
      </w:r>
      <w:r w:rsidRPr="001A0994">
        <w:rPr>
          <w:rFonts w:asciiTheme="minorHAnsi" w:hAnsiTheme="minorHAnsi" w:cstheme="minorHAnsi"/>
        </w:rPr>
        <w:t xml:space="preserve"> Principales cambios en su estructura (interna históricamente).</w:t>
      </w:r>
    </w:p>
    <w:p w14:paraId="7A52470D" w14:textId="77777777" w:rsidR="005362E7" w:rsidRPr="00BC5342" w:rsidRDefault="005362E7" w:rsidP="001A0994">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417CBD8D" w14:textId="77777777" w:rsidR="005362E7" w:rsidRPr="00BC5342" w:rsidRDefault="005362E7" w:rsidP="005362E7">
      <w:pPr>
        <w:spacing w:after="0" w:line="240" w:lineRule="auto"/>
        <w:jc w:val="both"/>
        <w:rPr>
          <w:rFonts w:cs="Calibri"/>
        </w:rPr>
      </w:pPr>
    </w:p>
    <w:p w14:paraId="69809F90" w14:textId="77777777" w:rsidR="005362E7" w:rsidRPr="00BC5342" w:rsidRDefault="005362E7" w:rsidP="005362E7">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0676533F" w14:textId="77777777" w:rsidR="005362E7" w:rsidRPr="00BC5342" w:rsidRDefault="005362E7" w:rsidP="005362E7">
      <w:pPr>
        <w:spacing w:after="0" w:line="240" w:lineRule="auto"/>
        <w:jc w:val="both"/>
        <w:rPr>
          <w:rFonts w:cs="Calibri"/>
        </w:rPr>
      </w:pPr>
    </w:p>
    <w:p w14:paraId="04645C00" w14:textId="77777777" w:rsidR="005362E7" w:rsidRPr="00BC5342" w:rsidRDefault="005362E7" w:rsidP="005362E7">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192A23C0" w14:textId="77777777" w:rsidR="005362E7" w:rsidRPr="00BC5342" w:rsidRDefault="005362E7" w:rsidP="005362E7">
      <w:pPr>
        <w:spacing w:after="0" w:line="240" w:lineRule="auto"/>
        <w:jc w:val="both"/>
        <w:rPr>
          <w:rFonts w:cs="Calibri"/>
        </w:rPr>
      </w:pPr>
    </w:p>
    <w:p w14:paraId="00AA35A0" w14:textId="77777777" w:rsidR="005362E7" w:rsidRPr="00BC5342" w:rsidRDefault="005362E7" w:rsidP="005362E7">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223048B" w14:textId="77777777" w:rsidR="005362E7" w:rsidRPr="00E74967" w:rsidRDefault="005362E7" w:rsidP="005362E7">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7E2D2C5" w14:textId="77777777" w:rsidR="005362E7" w:rsidRPr="00E74967" w:rsidRDefault="005362E7" w:rsidP="005362E7">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3F1D124" w14:textId="77777777" w:rsidR="005362E7" w:rsidRDefault="005362E7" w:rsidP="005362E7">
      <w:pPr>
        <w:spacing w:after="0" w:line="240" w:lineRule="auto"/>
        <w:jc w:val="both"/>
        <w:rPr>
          <w:rFonts w:cs="Calibri"/>
        </w:rPr>
      </w:pPr>
      <w:r>
        <w:rPr>
          <w:rFonts w:cs="Calibri"/>
        </w:rPr>
        <w:t>Del 01 de enero al 31 de diciembre de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4DBC942D" w14:textId="77777777" w:rsidR="005362E7" w:rsidRPr="00E74967" w:rsidRDefault="005362E7" w:rsidP="005362E7">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A21C177"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C07B511"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5EBA27EA"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69A149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01419B5"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E2AE11D"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6E0ADD64"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31DC3439"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67CC41F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220AFFEA" w14:textId="77777777" w:rsidR="005362E7"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1B08786C" w14:textId="77777777" w:rsidR="005362E7" w:rsidRPr="00FB4C27" w:rsidRDefault="005362E7" w:rsidP="005362E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1F36D0D" w:rsidR="007D1E76" w:rsidRDefault="0038028E" w:rsidP="00CB41C4">
      <w:pPr>
        <w:tabs>
          <w:tab w:val="left" w:leader="underscore" w:pos="9639"/>
        </w:tabs>
        <w:spacing w:after="0" w:line="240" w:lineRule="auto"/>
        <w:jc w:val="both"/>
        <w:rPr>
          <w:rFonts w:cs="Calibri"/>
        </w:rPr>
      </w:pPr>
      <w:r>
        <w:rPr>
          <w:noProof/>
        </w:rPr>
        <w:drawing>
          <wp:inline distT="0" distB="0" distL="0" distR="0" wp14:anchorId="42AB354F" wp14:editId="51815FA0">
            <wp:extent cx="6151880" cy="3888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88105"/>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5ADB9E4F" w:rsidR="007D1E76" w:rsidRDefault="0038028E"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3A132A7" w:rsidR="007D1E76" w:rsidRPr="00E74967" w:rsidRDefault="0038028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DAA32B1" w:rsidR="007D1E76" w:rsidRPr="00E74967" w:rsidRDefault="0038028E" w:rsidP="00CB41C4">
      <w:pPr>
        <w:tabs>
          <w:tab w:val="left" w:leader="underscore" w:pos="9639"/>
        </w:tabs>
        <w:spacing w:after="0" w:line="240" w:lineRule="auto"/>
        <w:jc w:val="both"/>
        <w:rPr>
          <w:rFonts w:cs="Calibri"/>
        </w:rPr>
      </w:pPr>
      <w:r>
        <w:rPr>
          <w:rFonts w:cs="Calibri"/>
        </w:rPr>
        <w:t>Costo histó</w:t>
      </w:r>
      <w:r w:rsidR="00E4392B">
        <w:rPr>
          <w:rFonts w:cs="Calibri"/>
        </w:rPr>
        <w:t>r</w:t>
      </w:r>
      <w:r>
        <w:rPr>
          <w:rFonts w:cs="Calibri"/>
        </w:rPr>
        <w:t>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66A549B8" w:rsidR="007D1E76" w:rsidRPr="00E74967" w:rsidRDefault="0038028E"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3514B8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B00D16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82D85E"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BBFF7E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FA2358F"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1D6B927"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C1D647B" w14:textId="0ED229FB"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FB6F516"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55EBB08" w:rsidR="007D1E76" w:rsidRPr="00E74967" w:rsidRDefault="0038028E"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FD5363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3E25721"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321B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2C2F004" w:rsidR="007D1E76" w:rsidRDefault="00D85AAE" w:rsidP="00CB41C4">
      <w:pPr>
        <w:tabs>
          <w:tab w:val="left" w:leader="underscore" w:pos="9639"/>
        </w:tabs>
        <w:spacing w:after="0" w:line="240" w:lineRule="auto"/>
        <w:jc w:val="both"/>
        <w:rPr>
          <w:rFonts w:cs="Calibri"/>
        </w:rPr>
      </w:pPr>
      <w:r>
        <w:rPr>
          <w:rFonts w:cs="Calibri"/>
        </w:rPr>
        <w:t>No aplica</w:t>
      </w:r>
    </w:p>
    <w:p w14:paraId="1B7EA731" w14:textId="77777777" w:rsidR="00D85AAE" w:rsidRPr="00E74967" w:rsidRDefault="00D85AA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DCC38A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A61FD1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E3697D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FB2669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88F1D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B2BE34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B0BDBBA" w:rsidR="007D1E76" w:rsidRPr="00E74967" w:rsidRDefault="00D85AAE"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2A32A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C0777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D9030C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4CEBC6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D5C42F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4DA21B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E155D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0766E5E"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42D57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5733E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9AD7DEC" w:rsidR="007D1E76" w:rsidRPr="00E74967" w:rsidRDefault="00D85AAE" w:rsidP="00CB41C4">
      <w:pPr>
        <w:tabs>
          <w:tab w:val="left" w:leader="underscore" w:pos="9639"/>
        </w:tabs>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236C400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B77D7A8"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AFA4DD4"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2F2141D7" w14:textId="0199C86B" w:rsidR="003B3626" w:rsidRDefault="007D1E76" w:rsidP="003B3626">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3B3626" w:rsidRPr="003B3626">
        <w:rPr>
          <w:rFonts w:cs="Calibri"/>
        </w:rPr>
        <w:t xml:space="preserve"> </w:t>
      </w:r>
    </w:p>
    <w:bookmarkStart w:id="11" w:name="_MON_1679905440"/>
    <w:bookmarkEnd w:id="11"/>
    <w:p w14:paraId="29E7ADE6" w14:textId="33A87A3D" w:rsidR="003B3626" w:rsidRPr="00E74967" w:rsidRDefault="00305BEF" w:rsidP="003B3626">
      <w:pPr>
        <w:tabs>
          <w:tab w:val="left" w:leader="underscore" w:pos="9639"/>
        </w:tabs>
        <w:spacing w:after="0" w:line="240" w:lineRule="auto"/>
        <w:jc w:val="both"/>
        <w:rPr>
          <w:rFonts w:cs="Calibri"/>
        </w:rPr>
      </w:pPr>
      <w:r>
        <w:rPr>
          <w:rFonts w:cs="Calibri"/>
        </w:rPr>
        <w:object w:dxaOrig="7998" w:dyaOrig="1472" w14:anchorId="49DFF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73.15pt" o:ole="">
            <v:imagedata r:id="rId13" o:title=""/>
          </v:shape>
          <o:OLEObject Type="Embed" ProgID="Excel.Sheet.12" ShapeID="_x0000_i1025" DrawAspect="Content" ObjectID="_1768979736"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03ECBCA8" w14:textId="0EC2EEA4" w:rsidR="003B3626" w:rsidRPr="00E74967" w:rsidRDefault="007D1E76" w:rsidP="003B362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3B3626" w:rsidRPr="003B3626">
        <w:rPr>
          <w:rFonts w:cs="Calibri"/>
        </w:rPr>
        <w:t xml:space="preserve"> </w:t>
      </w:r>
    </w:p>
    <w:bookmarkStart w:id="12" w:name="_MON_1679905944"/>
    <w:bookmarkEnd w:id="12"/>
    <w:p w14:paraId="2C0E30EE" w14:textId="4DA41358"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0167BDE5">
          <v:shape id="_x0000_i1026" type="#_x0000_t75" style="width:399.75pt;height:73.15pt" o:ole="">
            <v:imagedata r:id="rId15" o:title=""/>
          </v:shape>
          <o:OLEObject Type="Embed" ProgID="Excel.Sheet.12" ShapeID="_x0000_i1026" DrawAspect="Content" ObjectID="_1768979737"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B02EAB0" w14:textId="2FB082F3" w:rsidR="007D1E76" w:rsidRPr="00E74967" w:rsidRDefault="00D4640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3BA86B65" w:rsidR="007D1E76" w:rsidRPr="00E74967" w:rsidRDefault="00D46400"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5DDFF323" w:rsidR="007D1E76" w:rsidRPr="00E74967" w:rsidRDefault="00D46400" w:rsidP="00CB41C4">
      <w:pPr>
        <w:tabs>
          <w:tab w:val="left" w:leader="underscore" w:pos="9639"/>
        </w:tabs>
        <w:spacing w:after="0" w:line="240" w:lineRule="auto"/>
        <w:jc w:val="both"/>
        <w:rPr>
          <w:rFonts w:cs="Calibri"/>
        </w:rPr>
      </w:pPr>
      <w:r>
        <w:rPr>
          <w:rFonts w:cs="Calibri"/>
        </w:rPr>
        <w:t>Ahorro en las partidas del presupuesto.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737F723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48CB517" w:rsidR="007D1E76" w:rsidRPr="00E74967" w:rsidRDefault="00D46400" w:rsidP="00CB41C4">
      <w:pPr>
        <w:tabs>
          <w:tab w:val="left" w:leader="underscore" w:pos="9639"/>
        </w:tabs>
        <w:spacing w:after="0" w:line="240" w:lineRule="auto"/>
        <w:jc w:val="both"/>
        <w:rPr>
          <w:rFonts w:cs="Calibri"/>
        </w:rPr>
      </w:pPr>
      <w:r>
        <w:rPr>
          <w:rFonts w:cs="Calibri"/>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sectPr w:rsidR="007D1E7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FC27" w14:textId="77777777" w:rsidR="00B7472A" w:rsidRDefault="00B7472A" w:rsidP="00E00323">
      <w:pPr>
        <w:spacing w:after="0" w:line="240" w:lineRule="auto"/>
      </w:pPr>
      <w:r>
        <w:separator/>
      </w:r>
    </w:p>
  </w:endnote>
  <w:endnote w:type="continuationSeparator" w:id="0">
    <w:p w14:paraId="364306EA" w14:textId="77777777" w:rsidR="00B7472A" w:rsidRDefault="00B7472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B71A7" w14:textId="77777777" w:rsidR="00B7472A" w:rsidRDefault="00B7472A" w:rsidP="00E00323">
      <w:pPr>
        <w:spacing w:after="0" w:line="240" w:lineRule="auto"/>
      </w:pPr>
      <w:r>
        <w:separator/>
      </w:r>
    </w:p>
  </w:footnote>
  <w:footnote w:type="continuationSeparator" w:id="0">
    <w:p w14:paraId="6E6D320D" w14:textId="77777777" w:rsidR="00B7472A" w:rsidRDefault="00B7472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425FE265" w:rsidR="00154BA3" w:rsidRDefault="00226C49" w:rsidP="00A4610E">
    <w:pPr>
      <w:pStyle w:val="Encabezado"/>
      <w:spacing w:after="0" w:line="240" w:lineRule="auto"/>
      <w:jc w:val="center"/>
    </w:pPr>
    <w:r>
      <w:t>SISTEMA MUNICIPAL DE AGUA POTABLE Y ALCANTARILLADO DE MOROLEON</w:t>
    </w:r>
  </w:p>
  <w:p w14:paraId="3DBBBD02" w14:textId="4063B73D" w:rsidR="00226C49" w:rsidRDefault="00A4610E" w:rsidP="00305BEF">
    <w:pPr>
      <w:pStyle w:val="Encabezado"/>
      <w:spacing w:after="0" w:line="240" w:lineRule="auto"/>
      <w:jc w:val="center"/>
    </w:pPr>
    <w:r w:rsidRPr="00A4610E">
      <w:t xml:space="preserve">CORRESPONDINTES AL </w:t>
    </w:r>
    <w:r w:rsidR="00226C49">
      <w:t>3</w:t>
    </w:r>
    <w:r w:rsidR="00305BEF">
      <w:t>1</w:t>
    </w:r>
    <w:r w:rsidR="00226C49">
      <w:t xml:space="preserve"> DE </w:t>
    </w:r>
    <w:r w:rsidR="00305BEF">
      <w:t>DIC</w:t>
    </w:r>
    <w:r w:rsidR="00E4392B">
      <w:t>IEMBRE</w:t>
    </w:r>
    <w:r w:rsidR="00226C49">
      <w:t xml:space="preserv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B2"/>
    <w:rsid w:val="00154BA3"/>
    <w:rsid w:val="001973A2"/>
    <w:rsid w:val="001A0994"/>
    <w:rsid w:val="001C75F2"/>
    <w:rsid w:val="001D2063"/>
    <w:rsid w:val="001D43E9"/>
    <w:rsid w:val="00226C49"/>
    <w:rsid w:val="00232175"/>
    <w:rsid w:val="00305BEF"/>
    <w:rsid w:val="003453CA"/>
    <w:rsid w:val="0038028E"/>
    <w:rsid w:val="003B3626"/>
    <w:rsid w:val="00435A87"/>
    <w:rsid w:val="004A58C8"/>
    <w:rsid w:val="004B4BC1"/>
    <w:rsid w:val="004F1D84"/>
    <w:rsid w:val="004F234D"/>
    <w:rsid w:val="005362E7"/>
    <w:rsid w:val="0054701E"/>
    <w:rsid w:val="005B5531"/>
    <w:rsid w:val="005D3E43"/>
    <w:rsid w:val="005E231E"/>
    <w:rsid w:val="00657009"/>
    <w:rsid w:val="00681C79"/>
    <w:rsid w:val="006838AA"/>
    <w:rsid w:val="007610BC"/>
    <w:rsid w:val="007714AB"/>
    <w:rsid w:val="007D1E76"/>
    <w:rsid w:val="007D4484"/>
    <w:rsid w:val="007F2FB6"/>
    <w:rsid w:val="0086459F"/>
    <w:rsid w:val="008A115F"/>
    <w:rsid w:val="008C3BB8"/>
    <w:rsid w:val="008E076C"/>
    <w:rsid w:val="00925B68"/>
    <w:rsid w:val="0092765C"/>
    <w:rsid w:val="009F02B7"/>
    <w:rsid w:val="00A4610E"/>
    <w:rsid w:val="00A730E0"/>
    <w:rsid w:val="00AA41E5"/>
    <w:rsid w:val="00AB14B5"/>
    <w:rsid w:val="00AB722B"/>
    <w:rsid w:val="00AE1F6A"/>
    <w:rsid w:val="00B7472A"/>
    <w:rsid w:val="00C66B25"/>
    <w:rsid w:val="00C97E1E"/>
    <w:rsid w:val="00CB41C4"/>
    <w:rsid w:val="00CF1316"/>
    <w:rsid w:val="00D13C44"/>
    <w:rsid w:val="00D40FC2"/>
    <w:rsid w:val="00D46400"/>
    <w:rsid w:val="00D47EDF"/>
    <w:rsid w:val="00D5018E"/>
    <w:rsid w:val="00D57242"/>
    <w:rsid w:val="00D85AAE"/>
    <w:rsid w:val="00D975B1"/>
    <w:rsid w:val="00DA5007"/>
    <w:rsid w:val="00E00323"/>
    <w:rsid w:val="00E4392B"/>
    <w:rsid w:val="00E74967"/>
    <w:rsid w:val="00E7559F"/>
    <w:rsid w:val="00EA37F5"/>
    <w:rsid w:val="00EA7915"/>
    <w:rsid w:val="00ED4B2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46A8FC0-8E3D-401B-B360-57E637D1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30</cp:revision>
  <dcterms:created xsi:type="dcterms:W3CDTF">2017-01-12T05:27:00Z</dcterms:created>
  <dcterms:modified xsi:type="dcterms:W3CDTF">2024-02-09T16:29:00Z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