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4CF384F4" w:rsidR="000B7810" w:rsidRPr="00657009" w:rsidRDefault="00C66B25"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057B3"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C057B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C057B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C057B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C057B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C057B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C057B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C057B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C057B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C057B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C057B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C057B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C057B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C057B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C057B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C057B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C057B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94631CC" w14:textId="77777777" w:rsidR="00925B68" w:rsidRPr="00E74967" w:rsidRDefault="00925B68" w:rsidP="00925B68">
      <w:pPr>
        <w:tabs>
          <w:tab w:val="left" w:leader="underscore" w:pos="9639"/>
        </w:tabs>
        <w:spacing w:after="0" w:line="240" w:lineRule="auto"/>
        <w:jc w:val="both"/>
        <w:rPr>
          <w:rFonts w:cs="Calibri"/>
        </w:rPr>
      </w:pPr>
    </w:p>
    <w:p w14:paraId="64F117E7" w14:textId="77777777" w:rsidR="00925B68" w:rsidRDefault="00925B68" w:rsidP="00925B68">
      <w:pPr>
        <w:spacing w:after="0" w:line="240" w:lineRule="auto"/>
        <w:jc w:val="both"/>
        <w:rPr>
          <w:rFonts w:cs="Calibri"/>
        </w:rPr>
      </w:pPr>
      <w:r>
        <w:rPr>
          <w:rFonts w:cs="Calibri"/>
        </w:rPr>
        <w:t>Los estados financieros elaborados en el Sistema Municipal de Agua Potable y Alcantarillado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102EECFC" w14:textId="77777777" w:rsidR="00925B68" w:rsidRDefault="00925B68" w:rsidP="00925B68">
      <w:pPr>
        <w:spacing w:after="0" w:line="240" w:lineRule="auto"/>
        <w:jc w:val="both"/>
        <w:rPr>
          <w:rFonts w:cs="Calibri"/>
        </w:rPr>
      </w:pPr>
    </w:p>
    <w:p w14:paraId="734640E2" w14:textId="77777777" w:rsidR="00925B68" w:rsidRDefault="00925B68" w:rsidP="00925B68">
      <w:pPr>
        <w:spacing w:after="0" w:line="240" w:lineRule="auto"/>
        <w:jc w:val="both"/>
        <w:rPr>
          <w:rFonts w:cs="Calibri"/>
        </w:rPr>
      </w:pPr>
      <w:proofErr w:type="gramStart"/>
      <w:r>
        <w:rPr>
          <w:rFonts w:cs="Calibri"/>
        </w:rPr>
        <w:t>MISIÓN.-</w:t>
      </w:r>
      <w:proofErr w:type="gramEnd"/>
      <w:r>
        <w:rPr>
          <w:rFonts w:cs="Calibri"/>
        </w:rPr>
        <w:t xml:space="preserve"> </w:t>
      </w:r>
      <w:r>
        <w:rPr>
          <w:rFonts w:cs="Calibri"/>
        </w:rPr>
        <w:tab/>
        <w:t>Asegurar que la cabecera municipal de Moroleón cuente con agua suficiente y de calidad para su desarrollo en armonía con el medio ambiente.</w:t>
      </w:r>
    </w:p>
    <w:p w14:paraId="693406ED" w14:textId="77777777" w:rsidR="00925B68" w:rsidRDefault="00925B68" w:rsidP="00925B68">
      <w:pPr>
        <w:spacing w:after="0" w:line="240" w:lineRule="auto"/>
        <w:jc w:val="both"/>
        <w:rPr>
          <w:rFonts w:cs="Calibri"/>
        </w:rPr>
      </w:pPr>
    </w:p>
    <w:p w14:paraId="0BFA9070" w14:textId="77777777" w:rsidR="00925B68" w:rsidRPr="00E74967" w:rsidRDefault="00925B68" w:rsidP="00925B68">
      <w:pPr>
        <w:tabs>
          <w:tab w:val="left" w:leader="underscore" w:pos="9639"/>
        </w:tabs>
        <w:spacing w:after="0" w:line="240" w:lineRule="auto"/>
        <w:jc w:val="both"/>
        <w:rPr>
          <w:rFonts w:cs="Calibri"/>
        </w:rPr>
      </w:pPr>
      <w:proofErr w:type="gramStart"/>
      <w:r>
        <w:rPr>
          <w:rFonts w:cs="Calibri"/>
        </w:rPr>
        <w:t>VISIÓN.-</w:t>
      </w:r>
      <w:proofErr w:type="gramEnd"/>
      <w:r>
        <w:rPr>
          <w:rFonts w:cs="Calibri"/>
        </w:rPr>
        <w:t xml:space="preserve">      Somos un ente público con una organización profesional, que brinda soporte técnico y normativo para el desarrollo de la infraestructura hidráulica y sanitaria, para prestar los servicios públicos de suministro de agua a la población de la cabecera municipal de Moroleón, haciendo que sean estos sustentables en el tiempo.</w:t>
      </w:r>
    </w:p>
    <w:p w14:paraId="2683C01A" w14:textId="77777777" w:rsidR="00925B68" w:rsidRDefault="00925B68" w:rsidP="00925B68">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0F695C05"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7FBDBEB" w14:textId="7430B7BC" w:rsidR="00925B68" w:rsidRDefault="00925B68" w:rsidP="00CB41C4">
      <w:pPr>
        <w:tabs>
          <w:tab w:val="left" w:leader="underscore" w:pos="9639"/>
        </w:tabs>
        <w:spacing w:after="0" w:line="240" w:lineRule="auto"/>
        <w:jc w:val="both"/>
        <w:rPr>
          <w:rFonts w:cs="Calibri"/>
        </w:rPr>
      </w:pPr>
    </w:p>
    <w:p w14:paraId="7A7401E1" w14:textId="28B4C351" w:rsidR="00925B68" w:rsidRDefault="00925B68" w:rsidP="00925B68">
      <w:pPr>
        <w:spacing w:after="0" w:line="240" w:lineRule="auto"/>
        <w:jc w:val="both"/>
        <w:rPr>
          <w:rFonts w:cs="Calibri"/>
        </w:rPr>
      </w:pPr>
      <w:r>
        <w:rPr>
          <w:rFonts w:cs="Calibri"/>
        </w:rPr>
        <w:t>El Sistema Municipal de Agua Potable y Alcantarillado de Moroleón es un organismo público descentralizado de la Administración Pública Municipal con personalidad jurídica y patrimonio propio, se crea para la prestación de los servicios públicos de agua potable, alcantarillado, saneamiento y tratamiento de aguas residuales en la cabecera Municipal de Moroleón, Guanajuato.</w:t>
      </w:r>
    </w:p>
    <w:p w14:paraId="39B5CDF9" w14:textId="77777777" w:rsidR="00925B68" w:rsidRPr="001A0994" w:rsidRDefault="00925B68" w:rsidP="001A0994">
      <w:pPr>
        <w:spacing w:after="0" w:line="240" w:lineRule="auto"/>
        <w:jc w:val="both"/>
        <w:rPr>
          <w:rFonts w:asciiTheme="minorHAnsi" w:hAnsiTheme="minorHAnsi" w:cstheme="minorHAnsi"/>
        </w:rPr>
      </w:pPr>
    </w:p>
    <w:p w14:paraId="713F693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Con fundamento en el Artículo  38 fracción III del Código Territorial para el Estado y los Municipios de Guanajuato, elaboramos el estudio tarifario a los servicios públicos para establecer los alcances y efectos de nuestro presupuesto para el ejercicio 2023 y atendiendo a lo dispuesto en el Artículo 4, 18 y 24 de la Ley para el Ejercicio y Control de los Recursos Públicos para el Estado y los Municipios de Guanajuato, entregamos a fin de que sea aprobado, en su caso, por el Honorable Ayuntamiento de Municipio Moroleón Guanajuato, bajo los siguientes razonamientos:</w:t>
      </w:r>
    </w:p>
    <w:p w14:paraId="3866EC53" w14:textId="77777777" w:rsidR="00925B68" w:rsidRPr="001A0994" w:rsidRDefault="00925B68" w:rsidP="001A0994">
      <w:pPr>
        <w:tabs>
          <w:tab w:val="left" w:leader="underscore" w:pos="9639"/>
        </w:tabs>
        <w:spacing w:after="0" w:line="240" w:lineRule="auto"/>
        <w:jc w:val="both"/>
        <w:rPr>
          <w:rFonts w:asciiTheme="minorHAnsi" w:hAnsiTheme="minorHAnsi" w:cstheme="minorHAnsi"/>
        </w:rPr>
      </w:pPr>
    </w:p>
    <w:p w14:paraId="7049AF54" w14:textId="77777777" w:rsidR="00925B68" w:rsidRPr="001A0994" w:rsidRDefault="00925B68" w:rsidP="001A0994">
      <w:pPr>
        <w:spacing w:after="0" w:line="360" w:lineRule="auto"/>
        <w:jc w:val="center"/>
        <w:rPr>
          <w:rFonts w:asciiTheme="minorHAnsi" w:hAnsiTheme="minorHAnsi" w:cstheme="minorHAnsi"/>
        </w:rPr>
      </w:pPr>
      <w:r w:rsidRPr="001A0994">
        <w:rPr>
          <w:rFonts w:asciiTheme="minorHAnsi" w:hAnsiTheme="minorHAnsi" w:cstheme="minorHAnsi"/>
          <w:b/>
          <w:bCs/>
        </w:rPr>
        <w:t>Exposición de motivos</w:t>
      </w:r>
    </w:p>
    <w:p w14:paraId="55D8101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Por lo que corresponde a lo dispuesto por el Artículo 209 de la Ley Orgánica del Poder Legislativo en lo relativo a la evaluación de impacto que tendría la iniciativa de Ley de Ingresos, es pertinente mencionar que la propuesta presentada no considera cambios en la mecánica de cobro, tiene un nuevo concepto de tributación relativo al drenaje pluvial y todos los incrementos propuestos están por debajo del INPC. </w:t>
      </w:r>
    </w:p>
    <w:p w14:paraId="5CEE35D2"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 xml:space="preserve">Sin embargo, en cumplimiento a lo dispuesto por el artículo y ley referida, expresamos lo siguiente: </w:t>
      </w:r>
    </w:p>
    <w:p w14:paraId="39938F9B" w14:textId="77777777" w:rsidR="00925B68" w:rsidRPr="001A0994" w:rsidRDefault="00925B68" w:rsidP="001A0994">
      <w:pPr>
        <w:spacing w:after="0" w:line="360" w:lineRule="auto"/>
        <w:jc w:val="both"/>
        <w:rPr>
          <w:rFonts w:asciiTheme="minorHAnsi" w:hAnsiTheme="minorHAnsi" w:cstheme="minorHAnsi"/>
        </w:rPr>
      </w:pPr>
    </w:p>
    <w:p w14:paraId="6CF910BC"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 Impacto jurídico</w:t>
      </w:r>
    </w:p>
    <w:p w14:paraId="2A03FDED"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iniciativa presentada a efecto de realizar los cobros por los servicios de agua potable, alcantarillado y tratamiento de aguas residuales se apega al cumplimiento del marco jurídico correspondiente y a los lineamientos establecidos por el Reglamento del SMAPAM.</w:t>
      </w:r>
    </w:p>
    <w:p w14:paraId="763129DD"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Cumplimos las disposiciones que emanan de la Constitución Política de los Estados Mexicanos, de la particular del estado de Guanajuato, de la Ley Orgánica Municipal y de otros ordenamientos estatales y federales que forman el marco jurídico mediante el cual se rige el actuar del organismo operador.</w:t>
      </w:r>
    </w:p>
    <w:p w14:paraId="571FE90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Damos también cumplimiento al Código Territorial para el Estado y los Municipios de Guanajuato que establece las condiciones generales para la prestación del servicio, así como las referencias sobre el proceso para la autorización de tarifas y las características que éstas deben tener.</w:t>
      </w:r>
    </w:p>
    <w:p w14:paraId="7E3BF1E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existencia de normas y criterios para el establecimiento de las tarifas y las formas en que deba hacerse la designación de cargas tributarias para los ciudadanos que reciben los servicios, está sujeta a que se presente un estudio en donde se planteen los análisis de costos y el cálculo para los servicios prestados por lo que anualmente se elabora un proyecto tarifario que permita presentar con solvencia la propuesta de tarifas a fin de que se incluya en la iniciativa de Ley de Ingresos que se somete a la aprobación del Ayuntamiento y posteriormente a la del Congreso del Estado de Guanajuato.</w:t>
      </w:r>
    </w:p>
    <w:p w14:paraId="5CBB4F5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 fundamental acotar las partes medulares de los principios tributarios para lo cual se precisa citar lo expuesto en el documento de Criterios técnicos para la elaboración de las iniciativas de Ley de Ingresos Municipal emitido por el Congreso del Estado de Guanajuato donde se dice:</w:t>
      </w:r>
    </w:p>
    <w:p w14:paraId="18E03166" w14:textId="77777777" w:rsidR="00925B68" w:rsidRPr="001A0994" w:rsidRDefault="00925B68" w:rsidP="001A0994">
      <w:pPr>
        <w:spacing w:after="0" w:line="360" w:lineRule="auto"/>
        <w:jc w:val="both"/>
        <w:rPr>
          <w:rFonts w:asciiTheme="minorHAnsi" w:hAnsiTheme="minorHAnsi" w:cstheme="minorHAnsi"/>
        </w:rPr>
      </w:pPr>
    </w:p>
    <w:p w14:paraId="6BD3D9A3"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II.- Impacto administrativo.</w:t>
      </w:r>
    </w:p>
    <w:p w14:paraId="39513C46"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Al no existir cambios de mecánica de cobros no se tiene ningún efecto para la modificación del sistema comercial ni del sistema administrativo, ya que se conserva la estructura y mecánica de cobros con las consideraciones de incremento máximo del 5% para los servicios operativos y administrativos.</w:t>
      </w:r>
    </w:p>
    <w:p w14:paraId="7C821F38" w14:textId="77777777" w:rsidR="00925B68" w:rsidRPr="001A0994" w:rsidRDefault="00925B68" w:rsidP="001A0994">
      <w:pPr>
        <w:spacing w:after="0" w:line="360" w:lineRule="auto"/>
        <w:jc w:val="both"/>
        <w:rPr>
          <w:rFonts w:asciiTheme="minorHAnsi" w:hAnsiTheme="minorHAnsi" w:cstheme="minorHAnsi"/>
        </w:rPr>
      </w:pPr>
    </w:p>
    <w:p w14:paraId="26F4A6B9"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III.- Impacto Presupuestario.</w:t>
      </w:r>
    </w:p>
    <w:p w14:paraId="12ACD8F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No habiendo impactos en los incrementos ni ajustes a las mecánicas de aplicación, únicamente se genera un nuevo ingreso derivado del concepto de cobro adicional para el drenaje pluvial en un monto estimado de $ 635,363 pesos, y para tal efecto se presenta, paralelo a este documento, el pronóstico de ingresos que deriva de la aplicación de la iniciativa presentada para el caso de que fuera aprobada.</w:t>
      </w:r>
    </w:p>
    <w:p w14:paraId="0C0BE900"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lastRenderedPageBreak/>
        <w:t>IV.- Impacto Social.</w:t>
      </w:r>
    </w:p>
    <w:p w14:paraId="3FF66F1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operación de nuestra infraestructura va encaminada a suministrar los servicios públicos más necesarios para la vida y salud de los habitantes de Moroleón, teniendo como objetivo primordial el suministro de agua potable, la descarga de aguas residuales y su tratamiento, mediante lo cual generamos salud y bienestar a la población.</w:t>
      </w:r>
    </w:p>
    <w:p w14:paraId="6C112AEF" w14:textId="77777777" w:rsidR="00925B68" w:rsidRPr="001A0994" w:rsidRDefault="00925B68" w:rsidP="001A0994">
      <w:pPr>
        <w:spacing w:after="0" w:line="360" w:lineRule="auto"/>
        <w:jc w:val="both"/>
        <w:rPr>
          <w:rFonts w:asciiTheme="minorHAnsi" w:hAnsiTheme="minorHAnsi" w:cstheme="minorHAnsi"/>
        </w:rPr>
      </w:pPr>
    </w:p>
    <w:p w14:paraId="69A901A4" w14:textId="77777777" w:rsidR="00925B68" w:rsidRPr="001A0994" w:rsidRDefault="00925B68" w:rsidP="001A0994">
      <w:pPr>
        <w:spacing w:after="0" w:line="360" w:lineRule="auto"/>
        <w:contextualSpacing/>
        <w:jc w:val="both"/>
        <w:rPr>
          <w:rFonts w:asciiTheme="minorHAnsi" w:hAnsiTheme="minorHAnsi" w:cstheme="minorHAnsi"/>
        </w:rPr>
      </w:pPr>
      <w:r w:rsidRPr="001A0994">
        <w:rPr>
          <w:rFonts w:asciiTheme="minorHAnsi" w:hAnsiTheme="minorHAnsi" w:cstheme="minorHAnsi"/>
        </w:rPr>
        <w:t>Para el SMAPAM sigue siendo fundamental establecer en estos momentos un esquema tarifario acorde a las condiciones sociales, económicas y sanitarias generadas por los efectos aún presentes de la pasada pandemia que se ha presentado en todo el mundo y que afecta a todos por igual, pero que tienen incidencia y consecuencias de mayor impacto en las familias de escasos recursos.</w:t>
      </w:r>
    </w:p>
    <w:p w14:paraId="13B0E34C" w14:textId="77777777" w:rsidR="00925B68" w:rsidRPr="001A0994" w:rsidRDefault="00925B68" w:rsidP="001A0994">
      <w:pPr>
        <w:spacing w:after="0" w:line="360" w:lineRule="auto"/>
        <w:contextualSpacing/>
        <w:jc w:val="both"/>
        <w:rPr>
          <w:rFonts w:asciiTheme="minorHAnsi" w:hAnsiTheme="minorHAnsi" w:cstheme="minorHAnsi"/>
        </w:rPr>
      </w:pPr>
    </w:p>
    <w:p w14:paraId="040C919C" w14:textId="77777777" w:rsidR="00925B68" w:rsidRPr="001A0994" w:rsidRDefault="00925B68" w:rsidP="001A0994">
      <w:pPr>
        <w:spacing w:after="0" w:line="360" w:lineRule="auto"/>
        <w:contextualSpacing/>
        <w:jc w:val="both"/>
        <w:rPr>
          <w:rFonts w:asciiTheme="minorHAnsi" w:hAnsiTheme="minorHAnsi" w:cstheme="minorHAnsi"/>
        </w:rPr>
      </w:pPr>
      <w:r w:rsidRPr="001A0994">
        <w:rPr>
          <w:rFonts w:asciiTheme="minorHAnsi" w:hAnsiTheme="minorHAnsi" w:cstheme="minorHAnsi"/>
        </w:rPr>
        <w:t>Los efectos de la pandemia durante los años 2020 y 2021, y lo que va del 2022, han generado condiciones complicadas en términos de los ingresos para un gran número de familias, sin duda que ese es un factor que considerar aun cuando estemos ante un proceso de ajuste a la Ley de Ingresos donde se tiene el reto de enfrentar los efectos de los incrementos que los costos generan en la prestación de los servicios.</w:t>
      </w:r>
    </w:p>
    <w:p w14:paraId="713ACD95" w14:textId="77777777" w:rsidR="00925B68" w:rsidRPr="001A0994" w:rsidRDefault="00925B68" w:rsidP="001A0994">
      <w:pPr>
        <w:spacing w:after="0"/>
        <w:rPr>
          <w:rFonts w:asciiTheme="minorHAnsi" w:hAnsiTheme="minorHAnsi" w:cstheme="minorHAnsi"/>
        </w:rPr>
      </w:pPr>
    </w:p>
    <w:p w14:paraId="77EDCB0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Debemos seguir garantizando que todas las familias, comercios, industrias y oficinas gubernamentales de los tres niveles de gobierno, tengan certeza de contar con el servicio de suministro de agua potable, pues de lo contrario, se verían seriamente afectadas las condiciones para la preservación de la salud y el bienestar de la población.</w:t>
      </w:r>
    </w:p>
    <w:p w14:paraId="7891EB8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Y tal como sucedió en los años 2020 y 2021, se siguen teniendo en 2022 efectos derivados de la modificación en las demandas de agua de los diferentes núcleos de la población.</w:t>
      </w:r>
    </w:p>
    <w:p w14:paraId="1106B314"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Con relación al agua para uso doméstico, como consecuencia de las medidas de prevención que se recomiendan de forma general para tener menor riesgo de contagio, sigue manteniéndose una mayor presencia de las familias dentro de su hogar lo cual genera un mayor gasto de agua del que cotidianamente se venía registrando.</w:t>
      </w:r>
    </w:p>
    <w:p w14:paraId="4910CFE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Esto obedece a </w:t>
      </w:r>
      <w:proofErr w:type="gramStart"/>
      <w:r w:rsidRPr="001A0994">
        <w:rPr>
          <w:rFonts w:asciiTheme="minorHAnsi" w:hAnsiTheme="minorHAnsi" w:cstheme="minorHAnsi"/>
        </w:rPr>
        <w:t>que</w:t>
      </w:r>
      <w:proofErr w:type="gramEnd"/>
      <w:r w:rsidRPr="001A0994">
        <w:rPr>
          <w:rFonts w:asciiTheme="minorHAnsi" w:hAnsiTheme="minorHAnsi" w:cstheme="minorHAnsi"/>
        </w:rPr>
        <w:t xml:space="preserve"> durante el día, miembros de la familia acudían a su trabajo, otros a la escuela y a realizar actividades varias fuera del hogar, pero ahora que tienen una mayor permanencia en casa las demandas de agua suben y esto implica que se tenga que disponer de volúmenes mayores para su atención.</w:t>
      </w:r>
    </w:p>
    <w:p w14:paraId="2505596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Este factor que se presenta en la gran mayoría de domicilios en la ciudad, nos ha generado una mayor operación de las fuentes de abastecimiento, de tal manera que los pozos han venido operando por encima de los períodos de operación que tenemos normalmente.</w:t>
      </w:r>
    </w:p>
    <w:p w14:paraId="594418B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La operación durante más horas se traduce en un mayor gasto de energía eléctrica y consecuentemente una inversión económica que hemos tenido que solventar con acciones de ajuste presupuestal mediante recortes a otras partidas del gasto corriente y una mayor optimización de los recursos humanos y materiales.</w:t>
      </w:r>
    </w:p>
    <w:p w14:paraId="2474085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términos de egresos, es claro que en el SMAPAM tenemos que encontrar una solución para compensar ese crecimiento del gasto corriente y evitar que el dinero reservado para obras, ampliación de coberturas y dotación de servicios a nuevos usuarios, se vea severamente limitado y traiga efectos negativos para quienes pretenden y aspiran legítimamente a tener servicio de agua potable directamente en su hogar.</w:t>
      </w:r>
    </w:p>
    <w:p w14:paraId="12706A0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cuanto a los ingresos también se tienen efectos que pudieran afectar el proceso recaudatorio del organismo operador, y nos referimos puntualmente a un fenómeno que se ha producido en razón de la disminución en la capacidad económica de muchas familias, quienes se han visto afectadas por la pérdida de trabajo o la disminución de su ingreso, y eso les impide hacer sus pagos puntualmente.</w:t>
      </w:r>
    </w:p>
    <w:p w14:paraId="7DA0CE3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Estas familias que por alguna razón se ven imposibilitadas de hacer el pago de sus servicios, deben seguir teniendo acceso a la dotación de agua potable debido a que, en caso de limitarlos, les generaría problemas de salud con las repercusiones graves que esto representa, y por lo tanto, hemos mantenido nuestra política de dar continuidad de servicio independientemente de la condición que se presente por la morosidad generada por este problema que se va ahora presentando de forma paulatina; siendo flexibles en el otorgamiento de convenios de pago para amortiguar el impacto en cierto tipo de usuarios que se le dificulta el pago del servicio.</w:t>
      </w:r>
    </w:p>
    <w:p w14:paraId="1D13B986"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También es cierto que en este beneficio de mantener los servicios se ampararían injustamente aquellos que de forma sistemática se niegan a pagar sus consumos, pero no es tiempo de hacer distinciones y nuestra postura es la de apoyar a la población en general.</w:t>
      </w:r>
    </w:p>
    <w:p w14:paraId="18C0FD4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Es el contexto en que nos encontramos, con la mira puesta en la preparación de la iniciativa de ley de ingresos en lo correspondiente a la prestación de los servicios de agua potable, el Consejo Directivo ha mostrado su sensibilidad a fin de no trasladar los impactos inflacionarios en su totalidad y permitir que las tarifas sigan teniendo accesibilidad en su pago para que todos puedan contar con los servicios que tanto necesitan. </w:t>
      </w:r>
    </w:p>
    <w:p w14:paraId="3EC278F2"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Lo anterior significa que dentro del plan de tarifas para el año 2023, se está proponiendo que se aplique solamente un incremento del 5 % a las tarifas y de conservar la indexación del 0.8% bimestral. Cabe destacar que el consumo equivalente a veinte o menos metros cúbicos al bimestre de nuestros usuarios contiene prácticamente el 60% de nuestro total de usuarios domésticos.</w:t>
      </w:r>
    </w:p>
    <w:p w14:paraId="45A6AD1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Uno de los factores que ha permitido darle estabilidad a la tarifa y que nos ha posibilitado de ir anualmente extendiendo nuestras coberturas, y con ello llegando a los domicilios de usuarios que históricamente habían carecido de servicio dentro de su hogar, tiene su base en la aplicación de la indexación.</w:t>
      </w:r>
    </w:p>
    <w:p w14:paraId="264A0DC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Este factor que se aplica de manera bimestral a las tarifas y permite que se vaya haciendo frente a los incrementos que tenemos en los insumos durante el transcurso del año, pues para nosotros existen de forma permanente incrementos en los materiales y suministros para operación y mantenimiento, en la energía eléctrica, en el pago de los derechos de extracción, en los suministros de equipo para mantener en buen nivel en la operación y en todo aquello que forma parte de los componentes materiales y humanos necesarios para seguir operando.</w:t>
      </w:r>
    </w:p>
    <w:p w14:paraId="01FFC31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este sentido es que proponemos que se mantenga la indexación del 0.8% bimestral y que compensaría parte de los incrementos que hayamos tenido en el transcurso de este año, y que se acentuarán conforme pasen los meses finales del 2022, pero tendrán efectos mayores para el año 2023 que es el periodo tal cual se está presentando esta iniciativa.</w:t>
      </w:r>
    </w:p>
    <w:p w14:paraId="4BEC38D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el análisis de costos que realizamos anualmente para ver los efectos que tiene en nuestro gasto corriente el incremento de los materiales e insumos para prestación del servicio, tenemos cuatro grupos de gastos perfectamente identificados:</w:t>
      </w:r>
    </w:p>
    <w:p w14:paraId="404DC177"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 xml:space="preserve">1) el gasto en recursos humanos, </w:t>
      </w:r>
    </w:p>
    <w:p w14:paraId="0203BA8A"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2) energía eléctrica para la extracción, conducción y distribución del agua potable,</w:t>
      </w:r>
    </w:p>
    <w:p w14:paraId="6417FE79"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 xml:space="preserve">3) materiales y suministros para la operación y el mantenimiento, </w:t>
      </w:r>
    </w:p>
    <w:p w14:paraId="078A4699"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4) y los derechos de extracción que se deben pagar a la federación.</w:t>
      </w:r>
    </w:p>
    <w:p w14:paraId="5EC30F81" w14:textId="77777777" w:rsidR="00925B68" w:rsidRPr="001A0994" w:rsidRDefault="00925B68" w:rsidP="001A0994">
      <w:pPr>
        <w:spacing w:after="0" w:line="360" w:lineRule="auto"/>
        <w:jc w:val="both"/>
        <w:rPr>
          <w:rFonts w:asciiTheme="minorHAnsi" w:hAnsiTheme="minorHAnsi" w:cstheme="minorHAnsi"/>
        </w:rPr>
      </w:pPr>
    </w:p>
    <w:p w14:paraId="7C36C35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Del estudio tarifario que realizamos se desprende que nuestros costos han incrementado un 10.27% en el último año. Este impacto se determinó mediante el análisis de los componentes de nuestro gasto corriente en donde los recursos humanos en lo relativo a salarios y prestaciones han tenido un incremento ponderado del 1.29% que resultan de multiplicar la componente del 25.8% que representan con relación al gasto corriente por el factor de incremento anualizado del 5% que tuvo esta partida presupuestal con relación a los egresos.</w:t>
      </w:r>
    </w:p>
    <w:p w14:paraId="5BF0EDFE"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Aquí vale la pena señalar que tenemos un factor de 3.76 trabajadores por cada mil cuentas y, de acuerdo con los criterios del Banco Mundial, es razonable tener hasta </w:t>
      </w:r>
      <w:r w:rsidRPr="001A0994">
        <w:rPr>
          <w:rFonts w:asciiTheme="minorHAnsi" w:hAnsiTheme="minorHAnsi" w:cstheme="minorHAnsi"/>
          <w:b/>
        </w:rPr>
        <w:t>cuatro</w:t>
      </w:r>
      <w:r w:rsidRPr="001A0994">
        <w:rPr>
          <w:rFonts w:asciiTheme="minorHAnsi" w:hAnsiTheme="minorHAnsi" w:cstheme="minorHAnsi"/>
        </w:rPr>
        <w:t xml:space="preserve"> trabajadores por cada mil cuentas, lo cual significa que nos hemos manejado durante años con niveles de eficiencia en relación a los recursos humanos, lo cual nos permite ser el segundo organismo con mejor nivel en este indicador en el estado de Guanajuato. </w:t>
      </w:r>
    </w:p>
    <w:p w14:paraId="44E7202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energía eléctrica ha incrementado en este periodo un 13.1% y su componente dentro del gasto corriente es del 20.7%, de tal forma que al multiplicar los factores resulta un incremento ponderado del 2.71%.</w:t>
      </w:r>
    </w:p>
    <w:p w14:paraId="71CA8F0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Los costos de materiales e insumos para operación y mantenimiento que representan el 47.2% del gasto corriente, tuvieron un incremento del 12.6% ya que se trata de materiales cuyos costos se vieron afectados por el impacto de precios del mercado nacional e internacional y el incremento ponderado fue del 5.95%.</w:t>
      </w:r>
    </w:p>
    <w:p w14:paraId="02DDE53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Por lo que respecta a los derechos, primordialmente los relativos al uso y aprovechamiento de las aguas nacionales y que se pagan conforme a lo que establece la Ley Federal de Derechos, tuvieron incremento del 5% con una componente dentro del gasto del 6.3% lo que generó un incremento ponderado del 0.32%.</w:t>
      </w:r>
    </w:p>
    <w:p w14:paraId="15AF81EB"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Del análisis realizado observamos que el impacto neto de los costos fue del 10.27% y que eso va disminuyendo la capacidad operativa del organismo si no se toman medidas de ajuste que permitan compensar las alzas, pero que por otra parte tenemos ante nosotros el reto de apoyar a la ciudadanía, y es por ello que se tomó la decisión de no trasladar todo el impacto de costos en los precios a ejercer en el año 2023 y ajustar las tarifas por debajo de la inflación existente.</w:t>
      </w:r>
    </w:p>
    <w:p w14:paraId="0917CF6C" w14:textId="77777777" w:rsidR="00925B68" w:rsidRPr="001A0994" w:rsidRDefault="00925B68" w:rsidP="001A0994">
      <w:pPr>
        <w:spacing w:after="0" w:line="360" w:lineRule="auto"/>
        <w:jc w:val="both"/>
        <w:rPr>
          <w:rFonts w:asciiTheme="minorHAnsi" w:hAnsiTheme="minorHAnsi" w:cstheme="minorHAnsi"/>
        </w:rPr>
      </w:pPr>
    </w:p>
    <w:p w14:paraId="717D0B71" w14:textId="77777777" w:rsidR="00925B68" w:rsidRPr="001A0994" w:rsidRDefault="00925B68" w:rsidP="001A0994">
      <w:pPr>
        <w:spacing w:after="0" w:line="360" w:lineRule="auto"/>
        <w:jc w:val="center"/>
        <w:rPr>
          <w:rFonts w:asciiTheme="minorHAnsi" w:hAnsiTheme="minorHAnsi" w:cstheme="minorHAnsi"/>
          <w:b/>
          <w:bCs/>
        </w:rPr>
      </w:pPr>
      <w:r w:rsidRPr="001A0994">
        <w:rPr>
          <w:rFonts w:asciiTheme="minorHAnsi" w:hAnsiTheme="minorHAnsi" w:cstheme="minorHAnsi"/>
          <w:b/>
          <w:bCs/>
        </w:rPr>
        <w:t>De la propuesta al Artículo 14 de la ley de ingresos</w:t>
      </w:r>
    </w:p>
    <w:p w14:paraId="652CEA8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Para la prestación de servicios de suministro potable contenidos en la fracción I, estamos proponiendo un incremento del 5 % para todos los giros y mantener la indexación del 0.8 % bimestral.</w:t>
      </w:r>
    </w:p>
    <w:p w14:paraId="072D4BD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Para clarificar lo anterior es importante señalar que el cobro que los usuarios realizan es mediante dos componentes. El primero es una cuota base que se cobra a los usuarios por los servicios de aducción del agua, es decir todo el proceso de extracción, conducción y distribución para hacer llegar hasta su casa y poner a su disposición el agua que habrá de utilizar. </w:t>
      </w:r>
      <w:r w:rsidRPr="001A0994">
        <w:rPr>
          <w:rFonts w:asciiTheme="minorHAnsi" w:hAnsiTheme="minorHAnsi" w:cstheme="minorHAnsi"/>
          <w:b/>
          <w:bCs/>
        </w:rPr>
        <w:t>Esta cuota base</w:t>
      </w:r>
      <w:r w:rsidRPr="001A0994">
        <w:rPr>
          <w:rFonts w:asciiTheme="minorHAnsi" w:hAnsiTheme="minorHAnsi" w:cstheme="minorHAnsi"/>
        </w:rPr>
        <w:t xml:space="preserve"> se integra por los gastos de energía eléctrica que el organismo requiere para realizar la extracción, incluye también los costos operativos de cloración para generar mejores condiciones de potabilización del agua, para posteriormente ser conducida y distribuida en toda la zona urbana.</w:t>
      </w:r>
    </w:p>
    <w:p w14:paraId="6FC2CC3E"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Hasta ese momento y sin que aún exista consumo, el organismo operador ya ha ejecutado gastos cuyo importe total es dividido en proporción al volumen que a cada giro corresponde y a los usuarios clasificados en cada uno de ellos, de tal manera que el dividir el importe proporcional que corresponda por giro entre el número de usuarios y los 12 meses del año nos genera una cuota base para cada uno de ellos. </w:t>
      </w:r>
    </w:p>
    <w:p w14:paraId="1F226AA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otra componente es el cargo variable y ese se cobra en función del número de metros cúbicos que cada usuario consuma, de esta forma se cumple el propósito de que pague más quien más consuma, pero también se cumple con el principio de equidad en el sentido de que paga menos quien menos consuma.</w:t>
      </w:r>
    </w:p>
    <w:p w14:paraId="0661389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Para los giros comerciales e industriales se aplica un incremento del      5 % como ya se comentó previamente y la indexación del 0. 8%.</w:t>
      </w:r>
    </w:p>
    <w:p w14:paraId="5AC4E91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En cuanto al servicio de alcantarillado, se mantiene sin incremento alguno (conservando la tasa del 20 % del consumo de agua); y para el tratamiento, se solicita incrementar la tasa del 16 % al 18 % para hacer frente a los gastos operativos crecientes en la PTAR intermunicipal; y solamente los precios contenidos en las fracciones III y IV, que es donde se concentran esos conceptos, tendrán incremento del 5 %.</w:t>
      </w:r>
    </w:p>
    <w:p w14:paraId="4F2F41A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Los cobros relacionados con la emisión de contratos, instalación de ramales para tomas de agua potable, medidores, cuadros de medición, instalación de descargas de agua residual, así como los servicios administrativos y operativos, contenidos en las fracciones de la V a la XI, tendrán un incremento del 5 %.</w:t>
      </w:r>
    </w:p>
    <w:p w14:paraId="62F711F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El pago por incorporación de agua y drenaje que pagan los fraccionadores para obtener el derecho de conectarse a las redes hidráulicas y sanitarias, los cuales se encuentran dentro de la fracción XII, se propone incrementarlos a sus costos marginales respecto a los precios de diciembre del año 2022; con las correspondientes justificaciones acordes con los análisis hechos.</w:t>
      </w:r>
    </w:p>
    <w:p w14:paraId="3B7815B4"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Dentro de la fracción XIII de servicios operativos y administrativos para desarrollos inmobiliarios de todos los giros, la XIV correspondiente a incorporaciones no habitacionales, la XV en la que se incluyen cobro para incorporación individual, la XVI para venta de agua tratada, se propone para todos ellos un incremento del 5 % y la XVII para parámetros de contaminantes se propone también incrementarla en un 5 %.</w:t>
      </w:r>
    </w:p>
    <w:p w14:paraId="08E57B5A" w14:textId="77777777" w:rsidR="00925B68" w:rsidRPr="001A0994" w:rsidRDefault="00925B68" w:rsidP="001A0994">
      <w:pPr>
        <w:spacing w:after="0" w:line="360" w:lineRule="auto"/>
        <w:jc w:val="both"/>
        <w:rPr>
          <w:rFonts w:asciiTheme="minorHAnsi" w:hAnsiTheme="minorHAnsi" w:cstheme="minorHAnsi"/>
          <w:lang w:val="es-ES"/>
        </w:rPr>
      </w:pPr>
      <w:r w:rsidRPr="001A0994">
        <w:rPr>
          <w:rFonts w:asciiTheme="minorHAnsi" w:hAnsiTheme="minorHAnsi" w:cstheme="minorHAnsi"/>
          <w:lang w:val="es-ES"/>
        </w:rPr>
        <w:t>En la fracción I del artículo 42, para el caso de descuentos a personas adultos mayores y personas de capacidades diferentes se mantienen los beneficios contenidos en la ley vigente.</w:t>
      </w:r>
    </w:p>
    <w:p w14:paraId="66B9E0D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Que por todo lo anteriormente expuesto y basados en el cálculo de precios, es que ponemos a consideración del H. Ayuntamiento, nuestra propuesta de presupuesto de egresos para el ejercicio fiscal 2023 a $56’571,101.00 pesos, con un incremento general del 8.69% en relación al aprobado para el ejercicio fiscal de 2022, dando cumplimiento a las disposiciones normativas que inciden, respetando, como todos los años, el principio de autoridad que debe prevalecer para que esta institución pueda hacer su trabajo de análisis y autorización, en su caso.</w:t>
      </w:r>
    </w:p>
    <w:p w14:paraId="3285DC0B" w14:textId="77777777" w:rsidR="007D1E76" w:rsidRPr="001A0994" w:rsidRDefault="007D1E76" w:rsidP="001A0994">
      <w:pPr>
        <w:tabs>
          <w:tab w:val="left" w:leader="underscore" w:pos="9639"/>
        </w:tabs>
        <w:spacing w:after="0" w:line="240" w:lineRule="auto"/>
        <w:jc w:val="both"/>
        <w:rPr>
          <w:rFonts w:asciiTheme="minorHAnsi" w:hAnsiTheme="minorHAnsi" w:cstheme="minorHAnsi"/>
          <w:lang w:val="es-ES"/>
        </w:rPr>
      </w:pPr>
    </w:p>
    <w:p w14:paraId="54575967" w14:textId="77777777" w:rsidR="007D1E76" w:rsidRPr="001A0994" w:rsidRDefault="007D1E76" w:rsidP="001A0994">
      <w:pPr>
        <w:pStyle w:val="Ttulo2"/>
        <w:spacing w:before="0"/>
        <w:rPr>
          <w:rFonts w:asciiTheme="minorHAnsi" w:hAnsiTheme="minorHAnsi" w:cstheme="minorHAnsi"/>
          <w:b/>
          <w:color w:val="auto"/>
          <w:sz w:val="22"/>
          <w:szCs w:val="22"/>
        </w:rPr>
      </w:pPr>
      <w:bookmarkStart w:id="2" w:name="_Toc508279623"/>
      <w:r w:rsidRPr="001A0994">
        <w:rPr>
          <w:rFonts w:asciiTheme="minorHAnsi" w:hAnsiTheme="minorHAnsi" w:cstheme="minorHAnsi"/>
          <w:b/>
          <w:color w:val="auto"/>
          <w:sz w:val="22"/>
          <w:szCs w:val="22"/>
        </w:rPr>
        <w:t>3. Autoriza</w:t>
      </w:r>
      <w:r w:rsidR="00E00323" w:rsidRPr="001A0994">
        <w:rPr>
          <w:rFonts w:asciiTheme="minorHAnsi" w:hAnsiTheme="minorHAnsi" w:cstheme="minorHAnsi"/>
          <w:b/>
          <w:color w:val="auto"/>
          <w:sz w:val="22"/>
          <w:szCs w:val="22"/>
        </w:rPr>
        <w:t>ción e Historia:</w:t>
      </w:r>
      <w:bookmarkEnd w:id="2"/>
    </w:p>
    <w:p w14:paraId="360DA23B"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441574CB"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rPr>
        <w:t>Se informará sobre:</w:t>
      </w:r>
    </w:p>
    <w:p w14:paraId="062E74E7"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3F477DA3"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b/>
        </w:rPr>
        <w:t>a)</w:t>
      </w:r>
      <w:r w:rsidRPr="001A0994">
        <w:rPr>
          <w:rFonts w:asciiTheme="minorHAnsi" w:hAnsiTheme="minorHAnsi" w:cstheme="minorHAnsi"/>
        </w:rPr>
        <w:t xml:space="preserve"> Fecha de creación del ente.</w:t>
      </w:r>
    </w:p>
    <w:p w14:paraId="66EFAB72" w14:textId="77777777" w:rsidR="00925B68" w:rsidRPr="001A0994" w:rsidRDefault="00925B68" w:rsidP="001A0994">
      <w:pPr>
        <w:spacing w:after="0" w:line="240" w:lineRule="auto"/>
        <w:jc w:val="both"/>
        <w:rPr>
          <w:rFonts w:asciiTheme="minorHAnsi" w:hAnsiTheme="minorHAnsi" w:cstheme="minorHAnsi"/>
        </w:rPr>
      </w:pPr>
      <w:r w:rsidRPr="001A0994">
        <w:rPr>
          <w:rFonts w:asciiTheme="minorHAnsi" w:hAnsiTheme="minorHAnsi" w:cstheme="minorHAnsi"/>
        </w:rPr>
        <w:t>Con fecha 01 de Febrero de 1986; se crea para prestación de los servicios públicos del Agua Potable, Alcantarillado, Saneamiento y Tratamiento de Aguas Residuales en la cabecera Municipal de Moroleón, Guanajuato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3A2353BF"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b/>
        </w:rPr>
        <w:lastRenderedPageBreak/>
        <w:t>b)</w:t>
      </w:r>
      <w:r w:rsidRPr="001A0994">
        <w:rPr>
          <w:rFonts w:asciiTheme="minorHAnsi" w:hAnsiTheme="minorHAnsi" w:cstheme="minorHAnsi"/>
        </w:rPr>
        <w:t xml:space="preserve"> Principales cambios en su estructura (interna históricamente).</w:t>
      </w:r>
    </w:p>
    <w:p w14:paraId="7A52470D" w14:textId="77777777" w:rsidR="005362E7" w:rsidRPr="00BC5342" w:rsidRDefault="005362E7" w:rsidP="001A0994">
      <w:pPr>
        <w:spacing w:after="0" w:line="240" w:lineRule="auto"/>
        <w:jc w:val="both"/>
        <w:rPr>
          <w:rFonts w:cs="Calibri"/>
        </w:rPr>
      </w:pPr>
      <w:r w:rsidRPr="001A0994">
        <w:rPr>
          <w:rFonts w:asciiTheme="minorHAnsi" w:hAnsiTheme="minorHAnsi" w:cstheme="minorHAnsi"/>
        </w:rPr>
        <w:t xml:space="preserve">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w:t>
      </w:r>
      <w:r w:rsidRPr="00BC5342">
        <w:rPr>
          <w:rFonts w:cs="Calibri"/>
        </w:rPr>
        <w:t>enfermedades gastrointestinales de origen hídrico, que hacían estragos tremendos especialmente entre los niños; por lo cual el Índice de mortalidad infantil era muy elevado.</w:t>
      </w:r>
    </w:p>
    <w:p w14:paraId="417CBD8D" w14:textId="77777777" w:rsidR="005362E7" w:rsidRPr="00BC5342" w:rsidRDefault="005362E7" w:rsidP="005362E7">
      <w:pPr>
        <w:spacing w:after="0" w:line="240" w:lineRule="auto"/>
        <w:jc w:val="both"/>
        <w:rPr>
          <w:rFonts w:cs="Calibri"/>
        </w:rPr>
      </w:pPr>
    </w:p>
    <w:p w14:paraId="69809F90" w14:textId="77777777" w:rsidR="005362E7" w:rsidRPr="00BC5342" w:rsidRDefault="005362E7" w:rsidP="005362E7">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0676533F" w14:textId="77777777" w:rsidR="005362E7" w:rsidRPr="00BC5342" w:rsidRDefault="005362E7" w:rsidP="005362E7">
      <w:pPr>
        <w:spacing w:after="0" w:line="240" w:lineRule="auto"/>
        <w:jc w:val="both"/>
        <w:rPr>
          <w:rFonts w:cs="Calibri"/>
        </w:rPr>
      </w:pPr>
    </w:p>
    <w:p w14:paraId="04645C00" w14:textId="77777777" w:rsidR="005362E7" w:rsidRPr="00BC5342" w:rsidRDefault="005362E7" w:rsidP="005362E7">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192A23C0" w14:textId="77777777" w:rsidR="005362E7" w:rsidRPr="00BC5342" w:rsidRDefault="005362E7" w:rsidP="005362E7">
      <w:pPr>
        <w:spacing w:after="0" w:line="240" w:lineRule="auto"/>
        <w:jc w:val="both"/>
        <w:rPr>
          <w:rFonts w:cs="Calibri"/>
        </w:rPr>
      </w:pPr>
    </w:p>
    <w:p w14:paraId="00AA35A0" w14:textId="77777777" w:rsidR="005362E7" w:rsidRPr="00BC5342" w:rsidRDefault="005362E7" w:rsidP="005362E7">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223048B" w14:textId="77777777" w:rsidR="005362E7" w:rsidRPr="00E74967" w:rsidRDefault="005362E7" w:rsidP="005362E7">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7E2D2C5" w14:textId="77777777" w:rsidR="005362E7" w:rsidRPr="00E74967" w:rsidRDefault="005362E7" w:rsidP="005362E7">
      <w:pPr>
        <w:spacing w:after="0" w:line="240" w:lineRule="auto"/>
        <w:jc w:val="both"/>
        <w:rPr>
          <w:rFonts w:cs="Calibri"/>
        </w:rPr>
      </w:pPr>
      <w:r>
        <w:rPr>
          <w:rFonts w:cs="Calibri"/>
        </w:rPr>
        <w:t>Captación, tratamiento y suministro de agua para uso doméstico.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53F1D124" w14:textId="77777777" w:rsidR="005362E7" w:rsidRDefault="005362E7" w:rsidP="005362E7">
      <w:pPr>
        <w:spacing w:after="0" w:line="240" w:lineRule="auto"/>
        <w:jc w:val="both"/>
        <w:rPr>
          <w:rFonts w:cs="Calibri"/>
        </w:rPr>
      </w:pPr>
      <w:r>
        <w:rPr>
          <w:rFonts w:cs="Calibri"/>
        </w:rPr>
        <w:t>Del 01 de enero al 31 de diciembre de 2023</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4DBC942D" w14:textId="77777777" w:rsidR="005362E7" w:rsidRPr="00E74967" w:rsidRDefault="005362E7" w:rsidP="005362E7">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A21C177"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4C07B511"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5EBA27EA"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269A1493"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001419B5"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1E2AE11D"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6E0ADD64"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31DC3439"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67CC41F3"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220AFFEA" w14:textId="77777777" w:rsidR="005362E7"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1B08786C" w14:textId="77777777" w:rsidR="005362E7" w:rsidRPr="00FB4C27" w:rsidRDefault="005362E7" w:rsidP="005362E7">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11F36D0D" w:rsidR="007D1E76" w:rsidRDefault="0038028E" w:rsidP="00CB41C4">
      <w:pPr>
        <w:tabs>
          <w:tab w:val="left" w:leader="underscore" w:pos="9639"/>
        </w:tabs>
        <w:spacing w:after="0" w:line="240" w:lineRule="auto"/>
        <w:jc w:val="both"/>
        <w:rPr>
          <w:rFonts w:cs="Calibri"/>
        </w:rPr>
      </w:pPr>
      <w:r>
        <w:rPr>
          <w:noProof/>
        </w:rPr>
        <w:drawing>
          <wp:inline distT="0" distB="0" distL="0" distR="0" wp14:anchorId="42AB354F" wp14:editId="51815FA0">
            <wp:extent cx="6151880" cy="38881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888105"/>
                    </a:xfrm>
                    <a:prstGeom prst="rect">
                      <a:avLst/>
                    </a:prstGeom>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5ADB9E4F" w:rsidR="007D1E76" w:rsidRDefault="0038028E" w:rsidP="00CB41C4">
      <w:pPr>
        <w:tabs>
          <w:tab w:val="left" w:leader="underscore" w:pos="9639"/>
        </w:tabs>
        <w:spacing w:after="0" w:line="240" w:lineRule="auto"/>
        <w:jc w:val="both"/>
        <w:rPr>
          <w:rFonts w:cs="Calibri"/>
        </w:rPr>
      </w:pPr>
      <w:r>
        <w:rPr>
          <w:rFonts w:cs="Calibri"/>
        </w:rPr>
        <w:t>No aplica.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63A132A7" w:rsidR="007D1E76" w:rsidRPr="00E74967" w:rsidRDefault="0038028E" w:rsidP="00CB41C4">
      <w:pPr>
        <w:tabs>
          <w:tab w:val="left" w:leader="underscore" w:pos="9639"/>
        </w:tabs>
        <w:spacing w:after="0" w:line="240" w:lineRule="auto"/>
        <w:jc w:val="both"/>
        <w:rPr>
          <w:rFonts w:cs="Calibri"/>
        </w:rPr>
      </w:pPr>
      <w:r>
        <w:rPr>
          <w:rFonts w:cs="Calibri"/>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45C2B06" w:rsidR="007D1E76" w:rsidRPr="00E74967" w:rsidRDefault="0038028E" w:rsidP="00CB41C4">
      <w:pPr>
        <w:tabs>
          <w:tab w:val="left" w:leader="underscore" w:pos="9639"/>
        </w:tabs>
        <w:spacing w:after="0" w:line="240" w:lineRule="auto"/>
        <w:jc w:val="both"/>
        <w:rPr>
          <w:rFonts w:cs="Calibri"/>
        </w:rPr>
      </w:pPr>
      <w:r>
        <w:rPr>
          <w:rFonts w:cs="Calibri"/>
        </w:rPr>
        <w:t xml:space="preserve">Costo </w:t>
      </w:r>
      <w:proofErr w:type="spellStart"/>
      <w:r>
        <w:rPr>
          <w:rFonts w:cs="Calibri"/>
        </w:rPr>
        <w:t>histótico</w:t>
      </w:r>
      <w:proofErr w:type="spellEnd"/>
      <w:r>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66A549B8" w:rsidR="007D1E76" w:rsidRPr="00E74967" w:rsidRDefault="0038028E" w:rsidP="00CB41C4">
      <w:pPr>
        <w:tabs>
          <w:tab w:val="left" w:leader="underscore" w:pos="9639"/>
        </w:tabs>
        <w:spacing w:after="0" w:line="240" w:lineRule="auto"/>
        <w:jc w:val="both"/>
        <w:rPr>
          <w:rFonts w:cs="Calibri"/>
        </w:rPr>
      </w:pPr>
      <w:r>
        <w:rPr>
          <w:rFonts w:cs="Calibri"/>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3514B8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4B00D16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1F82D85E" w:rsidR="007D1E76" w:rsidRPr="00E74967" w:rsidRDefault="0038028E"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1BBFF7E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3FA2358F"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11D6B927" w:rsidR="007D1E76" w:rsidRPr="00E74967" w:rsidRDefault="0038028E"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Método de valuación de la inversión en acciones de Compañías subsidiarias no consolidadas y asociadas:</w:t>
      </w:r>
    </w:p>
    <w:p w14:paraId="1C1D647B" w14:textId="0ED229FB" w:rsidR="007D1E76" w:rsidRPr="00E74967" w:rsidRDefault="0038028E"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FB6F516"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655EBB08" w:rsidR="007D1E76" w:rsidRPr="00E74967" w:rsidRDefault="0038028E"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6FD5363D" w:rsidR="007D1E76" w:rsidRPr="00E74967" w:rsidRDefault="00D85AAE"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43E25721"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0321BDC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52C2F004" w:rsidR="007D1E76" w:rsidRDefault="00D85AAE" w:rsidP="00CB41C4">
      <w:pPr>
        <w:tabs>
          <w:tab w:val="left" w:leader="underscore" w:pos="9639"/>
        </w:tabs>
        <w:spacing w:after="0" w:line="240" w:lineRule="auto"/>
        <w:jc w:val="both"/>
        <w:rPr>
          <w:rFonts w:cs="Calibri"/>
        </w:rPr>
      </w:pPr>
      <w:r>
        <w:rPr>
          <w:rFonts w:cs="Calibri"/>
        </w:rPr>
        <w:t>No aplica</w:t>
      </w:r>
    </w:p>
    <w:p w14:paraId="1B7EA731" w14:textId="77777777" w:rsidR="00D85AAE" w:rsidRPr="00E74967" w:rsidRDefault="00D85AAE"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6DCC38A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0A61FD1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0E3697D3"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0FB2669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88F1DE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1B2BE34D" w:rsidR="007D1E76" w:rsidRPr="00E74967" w:rsidRDefault="00D85AAE"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2B0BDBBA" w:rsidR="007D1E76" w:rsidRPr="00E74967" w:rsidRDefault="00D85AAE" w:rsidP="00CB41C4">
      <w:pPr>
        <w:tabs>
          <w:tab w:val="left" w:leader="underscore" w:pos="9639"/>
        </w:tabs>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2A32AE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46C0777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7D9030C3" w:rsidR="007D1E76" w:rsidRPr="00E74967" w:rsidRDefault="00D85AAE"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44CEBC6A"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5D5C42F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4DA21B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11E155D6"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0766E5E"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42D57DC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155733EA"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59AD7DEC" w:rsidR="007D1E76" w:rsidRPr="00E74967" w:rsidRDefault="00D85AAE" w:rsidP="00CB41C4">
      <w:pPr>
        <w:tabs>
          <w:tab w:val="left" w:leader="underscore" w:pos="9639"/>
        </w:tabs>
        <w:spacing w:after="0" w:line="240" w:lineRule="auto"/>
        <w:jc w:val="both"/>
        <w:rPr>
          <w:rFonts w:cs="Calibri"/>
        </w:rPr>
      </w:pPr>
      <w:r>
        <w:rPr>
          <w:rFonts w:cs="Calibri"/>
        </w:rPr>
        <w:lastRenderedPageBreak/>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236C4006"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B77D7A8"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0AFA4DD4"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Start w:id="10" w:name="_GoBack"/>
      <w:bookmarkEnd w:id="9"/>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2F2141D7" w14:textId="0199C86B" w:rsidR="003B3626" w:rsidRDefault="007D1E76" w:rsidP="003B3626">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3B3626" w:rsidRPr="003B3626">
        <w:rPr>
          <w:rFonts w:cs="Calibri"/>
        </w:rPr>
        <w:t xml:space="preserve"> </w:t>
      </w:r>
    </w:p>
    <w:bookmarkStart w:id="11" w:name="_MON_1679905440"/>
    <w:bookmarkEnd w:id="11"/>
    <w:p w14:paraId="29E7ADE6" w14:textId="4729A2E4" w:rsidR="003B3626" w:rsidRPr="00E74967" w:rsidRDefault="009A6BA7" w:rsidP="003B3626">
      <w:pPr>
        <w:tabs>
          <w:tab w:val="left" w:leader="underscore" w:pos="9639"/>
        </w:tabs>
        <w:spacing w:after="0" w:line="240" w:lineRule="auto"/>
        <w:jc w:val="both"/>
        <w:rPr>
          <w:rFonts w:cs="Calibri"/>
        </w:rPr>
      </w:pPr>
      <w:r>
        <w:rPr>
          <w:rFonts w:cs="Calibri"/>
        </w:rPr>
        <w:object w:dxaOrig="7998" w:dyaOrig="1472" w14:anchorId="49DFF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99.75pt;height:73.5pt" o:ole="">
            <v:imagedata r:id="rId13" o:title=""/>
          </v:shape>
          <o:OLEObject Type="Embed" ProgID="Excel.Sheet.12" ShapeID="_x0000_i1034" DrawAspect="Content" ObjectID="_1754811450" r:id="rId14"/>
        </w:object>
      </w:r>
    </w:p>
    <w:p w14:paraId="4FA2E1ED" w14:textId="77777777" w:rsidR="007D1E76" w:rsidRPr="00E74967" w:rsidRDefault="007D1E76" w:rsidP="00CB41C4">
      <w:pPr>
        <w:tabs>
          <w:tab w:val="left" w:leader="underscore" w:pos="9639"/>
        </w:tabs>
        <w:spacing w:after="0" w:line="240" w:lineRule="auto"/>
        <w:jc w:val="both"/>
        <w:rPr>
          <w:rFonts w:cs="Calibri"/>
        </w:rPr>
      </w:pPr>
    </w:p>
    <w:p w14:paraId="03ECBCA8" w14:textId="0EC2EEA4" w:rsidR="003B3626" w:rsidRPr="00E74967" w:rsidRDefault="007D1E76" w:rsidP="003B3626">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3B3626" w:rsidRPr="003B3626">
        <w:rPr>
          <w:rFonts w:cs="Calibri"/>
        </w:rPr>
        <w:t xml:space="preserve"> </w:t>
      </w:r>
    </w:p>
    <w:bookmarkStart w:id="12" w:name="_MON_1679905944"/>
    <w:bookmarkEnd w:id="12"/>
    <w:p w14:paraId="2C0E30EE" w14:textId="4DA41358" w:rsidR="003B3626" w:rsidRPr="00E74967" w:rsidRDefault="003B3626" w:rsidP="003B3626">
      <w:pPr>
        <w:tabs>
          <w:tab w:val="left" w:leader="underscore" w:pos="9639"/>
        </w:tabs>
        <w:spacing w:after="0" w:line="240" w:lineRule="auto"/>
        <w:jc w:val="both"/>
        <w:rPr>
          <w:rFonts w:cs="Calibri"/>
        </w:rPr>
      </w:pPr>
      <w:r>
        <w:rPr>
          <w:rFonts w:cs="Calibri"/>
        </w:rPr>
        <w:object w:dxaOrig="7998" w:dyaOrig="1472" w14:anchorId="0167BDE5">
          <v:shape id="_x0000_i1026" type="#_x0000_t75" style="width:399.75pt;height:73.5pt" o:ole="">
            <v:imagedata r:id="rId15" o:title=""/>
          </v:shape>
          <o:OLEObject Type="Embed" ProgID="Excel.Sheet.12" ShapeID="_x0000_i1026" DrawAspect="Content" ObjectID="_1754811451" r:id="rId16"/>
        </w:objec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3"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3"/>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4"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4"/>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6B02EAB0" w14:textId="2FB082F3" w:rsidR="007D1E76" w:rsidRPr="00E74967" w:rsidRDefault="00D46400" w:rsidP="00CB41C4">
      <w:pPr>
        <w:tabs>
          <w:tab w:val="left" w:leader="underscore" w:pos="9639"/>
        </w:tabs>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5" w:name="_Toc508279633"/>
      <w:r w:rsidRPr="000C3365">
        <w:rPr>
          <w:rFonts w:asciiTheme="minorHAnsi" w:hAnsiTheme="minorHAnsi" w:cstheme="minorHAnsi"/>
          <w:b/>
          <w:color w:val="auto"/>
          <w:sz w:val="22"/>
        </w:rPr>
        <w:t>13. Proceso de Mejora:</w:t>
      </w:r>
      <w:bookmarkEnd w:id="15"/>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3BA86B65" w:rsidR="007D1E76" w:rsidRPr="00E74967" w:rsidRDefault="00D46400" w:rsidP="00CB41C4">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5DDFF323" w:rsidR="007D1E76" w:rsidRPr="00E74967" w:rsidRDefault="00D46400" w:rsidP="00CB41C4">
      <w:pPr>
        <w:tabs>
          <w:tab w:val="left" w:leader="underscore" w:pos="9639"/>
        </w:tabs>
        <w:spacing w:after="0" w:line="240" w:lineRule="auto"/>
        <w:jc w:val="both"/>
        <w:rPr>
          <w:rFonts w:cs="Calibri"/>
        </w:rPr>
      </w:pPr>
      <w:r>
        <w:rPr>
          <w:rFonts w:cs="Calibri"/>
        </w:rPr>
        <w:t>Ahorro en las partidas del presupuesto.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6"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6"/>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7"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7"/>
    </w:p>
    <w:p w14:paraId="362DF4F4" w14:textId="77777777" w:rsidR="007D1E76" w:rsidRPr="00E74967" w:rsidRDefault="007D1E76" w:rsidP="00CB41C4">
      <w:pPr>
        <w:tabs>
          <w:tab w:val="left" w:leader="underscore" w:pos="9639"/>
        </w:tabs>
        <w:spacing w:after="0" w:line="240" w:lineRule="auto"/>
        <w:jc w:val="both"/>
        <w:rPr>
          <w:rFonts w:cs="Calibri"/>
        </w:rPr>
      </w:pPr>
    </w:p>
    <w:p w14:paraId="55D08D4D" w14:textId="737F7235"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bookmarkStart w:id="18" w:name="_Toc508279636"/>
      <w:r w:rsidRPr="000C3365">
        <w:rPr>
          <w:rFonts w:asciiTheme="minorHAnsi" w:hAnsiTheme="minorHAnsi" w:cstheme="minorHAnsi"/>
          <w:b/>
          <w:color w:val="auto"/>
          <w:sz w:val="22"/>
        </w:rPr>
        <w:t>16. Partes Relacionadas:</w:t>
      </w:r>
      <w:bookmarkEnd w:id="18"/>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548CB517" w:rsidR="007D1E76" w:rsidRPr="00E74967" w:rsidRDefault="00D46400" w:rsidP="00CB41C4">
      <w:pPr>
        <w:tabs>
          <w:tab w:val="left" w:leader="underscore" w:pos="9639"/>
        </w:tabs>
        <w:spacing w:after="0" w:line="240" w:lineRule="auto"/>
        <w:jc w:val="both"/>
        <w:rPr>
          <w:rFonts w:cs="Calibri"/>
        </w:rPr>
      </w:pPr>
      <w:r>
        <w:rPr>
          <w:rFonts w:cs="Calibri"/>
        </w:rPr>
        <w:t>No aplica.</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9"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9"/>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sectPr w:rsidR="007D1E76"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C8EBE" w14:textId="77777777" w:rsidR="00C057B3" w:rsidRDefault="00C057B3" w:rsidP="00E00323">
      <w:pPr>
        <w:spacing w:after="0" w:line="240" w:lineRule="auto"/>
      </w:pPr>
      <w:r>
        <w:separator/>
      </w:r>
    </w:p>
  </w:endnote>
  <w:endnote w:type="continuationSeparator" w:id="0">
    <w:p w14:paraId="1E6D9639" w14:textId="77777777" w:rsidR="00C057B3" w:rsidRDefault="00C057B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FEBD6" w14:textId="77777777" w:rsidR="00C057B3" w:rsidRDefault="00C057B3" w:rsidP="00E00323">
      <w:pPr>
        <w:spacing w:after="0" w:line="240" w:lineRule="auto"/>
      </w:pPr>
      <w:r>
        <w:separator/>
      </w:r>
    </w:p>
  </w:footnote>
  <w:footnote w:type="continuationSeparator" w:id="0">
    <w:p w14:paraId="0704E272" w14:textId="77777777" w:rsidR="00C057B3" w:rsidRDefault="00C057B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425FE265" w:rsidR="00154BA3" w:rsidRDefault="00226C49" w:rsidP="00A4610E">
    <w:pPr>
      <w:pStyle w:val="Encabezado"/>
      <w:spacing w:after="0" w:line="240" w:lineRule="auto"/>
      <w:jc w:val="center"/>
    </w:pPr>
    <w:r>
      <w:t>SISTEMA MUNICIPAL DE AGUA POTABLE Y ALCANTARILLADO DE MOROLEON</w:t>
    </w:r>
  </w:p>
  <w:p w14:paraId="3DBBBD02" w14:textId="0DAF1B9D" w:rsidR="00226C49" w:rsidRDefault="00A4610E" w:rsidP="00226C49">
    <w:pPr>
      <w:pStyle w:val="Encabezado"/>
      <w:spacing w:after="0" w:line="240" w:lineRule="auto"/>
      <w:jc w:val="center"/>
    </w:pPr>
    <w:r w:rsidRPr="00A4610E">
      <w:t xml:space="preserve">CORRESPONDINTES AL </w:t>
    </w:r>
    <w:r w:rsidR="00226C49">
      <w:t>3</w:t>
    </w:r>
    <w:r w:rsidR="00AB14B5">
      <w:t>0</w:t>
    </w:r>
    <w:r w:rsidR="00226C49">
      <w:t xml:space="preserve"> DE </w:t>
    </w:r>
    <w:r w:rsidR="00AB14B5">
      <w:t>JUNI</w:t>
    </w:r>
    <w:r w:rsidR="00226C49">
      <w:t>O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7B2"/>
    <w:rsid w:val="00154BA3"/>
    <w:rsid w:val="001973A2"/>
    <w:rsid w:val="001A0994"/>
    <w:rsid w:val="001C75F2"/>
    <w:rsid w:val="001D2063"/>
    <w:rsid w:val="001D43E9"/>
    <w:rsid w:val="00226C49"/>
    <w:rsid w:val="00232175"/>
    <w:rsid w:val="003453CA"/>
    <w:rsid w:val="0038028E"/>
    <w:rsid w:val="003B3626"/>
    <w:rsid w:val="00435A87"/>
    <w:rsid w:val="004A58C8"/>
    <w:rsid w:val="004F234D"/>
    <w:rsid w:val="005362E7"/>
    <w:rsid w:val="0054701E"/>
    <w:rsid w:val="005B5531"/>
    <w:rsid w:val="005D3E43"/>
    <w:rsid w:val="005E231E"/>
    <w:rsid w:val="00657009"/>
    <w:rsid w:val="00681C79"/>
    <w:rsid w:val="007610BC"/>
    <w:rsid w:val="007714AB"/>
    <w:rsid w:val="007D1E76"/>
    <w:rsid w:val="007D4484"/>
    <w:rsid w:val="007F2FB6"/>
    <w:rsid w:val="0086459F"/>
    <w:rsid w:val="008A115F"/>
    <w:rsid w:val="008C3BB8"/>
    <w:rsid w:val="008E076C"/>
    <w:rsid w:val="00925B68"/>
    <w:rsid w:val="0092765C"/>
    <w:rsid w:val="009A6BA7"/>
    <w:rsid w:val="009F02B7"/>
    <w:rsid w:val="00A4610E"/>
    <w:rsid w:val="00A730E0"/>
    <w:rsid w:val="00AA41E5"/>
    <w:rsid w:val="00AB14B5"/>
    <w:rsid w:val="00AB722B"/>
    <w:rsid w:val="00AE1F6A"/>
    <w:rsid w:val="00C057B3"/>
    <w:rsid w:val="00C66B25"/>
    <w:rsid w:val="00C97E1E"/>
    <w:rsid w:val="00CB41C4"/>
    <w:rsid w:val="00CF1316"/>
    <w:rsid w:val="00D13C44"/>
    <w:rsid w:val="00D40FC2"/>
    <w:rsid w:val="00D46400"/>
    <w:rsid w:val="00D5018E"/>
    <w:rsid w:val="00D85AA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C5270-A5D6-4371-BD3E-0934572D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15</Pages>
  <Words>5336</Words>
  <Characters>29354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34621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Server</cp:lastModifiedBy>
  <cp:revision>26</cp:revision>
  <dcterms:created xsi:type="dcterms:W3CDTF">2017-01-12T05:27:00Z</dcterms:created>
  <dcterms:modified xsi:type="dcterms:W3CDTF">2023-08-29T16:51:00Z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