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016A444D"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8051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80071">
              <w:rPr>
                <w:noProof/>
                <w:webHidden/>
              </w:rPr>
              <w:t>2</w:t>
            </w:r>
            <w:r>
              <w:rPr>
                <w:noProof/>
                <w:webHidden/>
              </w:rPr>
              <w:fldChar w:fldCharType="end"/>
            </w:r>
          </w:hyperlink>
        </w:p>
        <w:p w14:paraId="47CC41D1" w14:textId="221EBD42" w:rsidR="00F46719" w:rsidRDefault="0078051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80071">
              <w:rPr>
                <w:noProof/>
                <w:webHidden/>
              </w:rPr>
              <w:t>2</w:t>
            </w:r>
            <w:r w:rsidR="00F46719">
              <w:rPr>
                <w:noProof/>
                <w:webHidden/>
              </w:rPr>
              <w:fldChar w:fldCharType="end"/>
            </w:r>
          </w:hyperlink>
        </w:p>
        <w:p w14:paraId="0205BF1A" w14:textId="75F9B70C" w:rsidR="00F46719" w:rsidRDefault="0078051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80071">
              <w:rPr>
                <w:noProof/>
                <w:webHidden/>
              </w:rPr>
              <w:t>4</w:t>
            </w:r>
            <w:r w:rsidR="00F46719">
              <w:rPr>
                <w:noProof/>
                <w:webHidden/>
              </w:rPr>
              <w:fldChar w:fldCharType="end"/>
            </w:r>
          </w:hyperlink>
        </w:p>
        <w:p w14:paraId="3181098F" w14:textId="4E1C5026" w:rsidR="00F46719" w:rsidRDefault="0078051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80071">
              <w:rPr>
                <w:noProof/>
                <w:webHidden/>
              </w:rPr>
              <w:t>5</w:t>
            </w:r>
            <w:r w:rsidR="00F46719">
              <w:rPr>
                <w:noProof/>
                <w:webHidden/>
              </w:rPr>
              <w:fldChar w:fldCharType="end"/>
            </w:r>
          </w:hyperlink>
        </w:p>
        <w:p w14:paraId="3E5886DF" w14:textId="35B70874" w:rsidR="00F46719" w:rsidRDefault="0078051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80071">
              <w:rPr>
                <w:noProof/>
                <w:webHidden/>
              </w:rPr>
              <w:t>6</w:t>
            </w:r>
            <w:r w:rsidR="00F46719">
              <w:rPr>
                <w:noProof/>
                <w:webHidden/>
              </w:rPr>
              <w:fldChar w:fldCharType="end"/>
            </w:r>
          </w:hyperlink>
        </w:p>
        <w:p w14:paraId="653AF446" w14:textId="2C9BE871" w:rsidR="00F46719" w:rsidRDefault="0078051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80071">
              <w:rPr>
                <w:noProof/>
                <w:webHidden/>
              </w:rPr>
              <w:t>7</w:t>
            </w:r>
            <w:r w:rsidR="00F46719">
              <w:rPr>
                <w:noProof/>
                <w:webHidden/>
              </w:rPr>
              <w:fldChar w:fldCharType="end"/>
            </w:r>
          </w:hyperlink>
        </w:p>
        <w:p w14:paraId="21BA046A" w14:textId="37DC928C" w:rsidR="00F46719" w:rsidRDefault="0078051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80071">
              <w:rPr>
                <w:noProof/>
                <w:webHidden/>
              </w:rPr>
              <w:t>8</w:t>
            </w:r>
            <w:r w:rsidR="00F46719">
              <w:rPr>
                <w:noProof/>
                <w:webHidden/>
              </w:rPr>
              <w:fldChar w:fldCharType="end"/>
            </w:r>
          </w:hyperlink>
        </w:p>
        <w:p w14:paraId="784807F5" w14:textId="0B009106" w:rsidR="00F46719" w:rsidRDefault="0078051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80071">
              <w:rPr>
                <w:noProof/>
                <w:webHidden/>
              </w:rPr>
              <w:t>9</w:t>
            </w:r>
            <w:r w:rsidR="00F46719">
              <w:rPr>
                <w:noProof/>
                <w:webHidden/>
              </w:rPr>
              <w:fldChar w:fldCharType="end"/>
            </w:r>
          </w:hyperlink>
        </w:p>
        <w:p w14:paraId="7E663DB5" w14:textId="180385E7" w:rsidR="00F46719" w:rsidRDefault="0078051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335A44C3" w14:textId="015548D8" w:rsidR="00F46719" w:rsidRDefault="0078051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80071">
              <w:rPr>
                <w:noProof/>
                <w:webHidden/>
              </w:rPr>
              <w:t>10</w:t>
            </w:r>
            <w:r w:rsidR="00F46719">
              <w:rPr>
                <w:noProof/>
                <w:webHidden/>
              </w:rPr>
              <w:fldChar w:fldCharType="end"/>
            </w:r>
          </w:hyperlink>
        </w:p>
        <w:p w14:paraId="290CB7FF" w14:textId="1E90990E" w:rsidR="00F46719" w:rsidRDefault="0078051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67FB6C3B" w14:textId="0410ED3E" w:rsidR="00F46719" w:rsidRDefault="0078051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3373EEEC" w14:textId="43E71DEC" w:rsidR="00F46719" w:rsidRDefault="0078051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80071">
              <w:rPr>
                <w:noProof/>
                <w:webHidden/>
              </w:rPr>
              <w:t>11</w:t>
            </w:r>
            <w:r w:rsidR="00F46719">
              <w:rPr>
                <w:noProof/>
                <w:webHidden/>
              </w:rPr>
              <w:fldChar w:fldCharType="end"/>
            </w:r>
          </w:hyperlink>
        </w:p>
        <w:p w14:paraId="01A1A543" w14:textId="550A878F" w:rsidR="00F46719" w:rsidRDefault="0078051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14DA06E" w14:textId="7545E7CB" w:rsidR="00F46719" w:rsidRDefault="0078051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0A10726F" w14:textId="06066D8D" w:rsidR="00F46719" w:rsidRDefault="0078051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3402BC77" w14:textId="4E425D78" w:rsidR="00F46719" w:rsidRDefault="0078051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80071">
              <w:rPr>
                <w:noProof/>
                <w:webHidden/>
              </w:rPr>
              <w:t>12</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r>
        <w:rPr>
          <w:rFonts w:cs="Calibri"/>
        </w:rPr>
        <w:t xml:space="preserve">MISIÓN.-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r>
        <w:rPr>
          <w:rFonts w:cs="Calibri"/>
        </w:rPr>
        <w:t>VISIÓN.-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63B638A9" w14:textId="4E52DD54" w:rsidR="000B51C5" w:rsidRDefault="000B51C5" w:rsidP="000B51C5">
      <w:pPr>
        <w:spacing w:after="0" w:line="240" w:lineRule="auto"/>
        <w:jc w:val="both"/>
      </w:pPr>
      <w:r>
        <w:t>Con fundamento en los Artículos 4 y 24 de la Ley para el Ejercicio y Control de los Recursos Públicos para el Estado y los municipios de Guanajuato, el Sistema Municipal de Agua Potable y Alcantarillado de Moroleón (SMAPAM), presenta su proyecto de presupuesto de egresos para el ejercicio fiscal 2021 a fin de que sea aprobado, en su caso, por el Honorable Ayuntamiento de Municipio Moroleón Guanajuato.</w:t>
      </w:r>
    </w:p>
    <w:p w14:paraId="60A88C46" w14:textId="77777777" w:rsidR="000B51C5" w:rsidRDefault="000B51C5" w:rsidP="000B51C5">
      <w:pPr>
        <w:spacing w:after="0" w:line="240" w:lineRule="auto"/>
        <w:jc w:val="both"/>
      </w:pPr>
    </w:p>
    <w:p w14:paraId="3D1A5450" w14:textId="77777777" w:rsidR="000B51C5" w:rsidRDefault="000B51C5" w:rsidP="000B51C5">
      <w:pPr>
        <w:spacing w:after="0" w:line="240" w:lineRule="auto"/>
        <w:jc w:val="both"/>
      </w:pPr>
      <w:r>
        <w:t>Exposición de motivos</w:t>
      </w:r>
    </w:p>
    <w:p w14:paraId="362156B5" w14:textId="77777777" w:rsidR="000B51C5" w:rsidRDefault="000B51C5" w:rsidP="000B51C5">
      <w:pPr>
        <w:spacing w:after="0" w:line="240" w:lineRule="auto"/>
        <w:jc w:val="both"/>
      </w:pPr>
    </w:p>
    <w:p w14:paraId="380828D5" w14:textId="77777777" w:rsidR="000B51C5" w:rsidRDefault="000B51C5" w:rsidP="000B51C5">
      <w:pPr>
        <w:spacing w:after="0" w:line="240" w:lineRule="auto"/>
        <w:jc w:val="both"/>
      </w:pPr>
      <w:r>
        <w:t>Para el SMAPAM resulta fundamental establecer en estos momentos un esquema tarifario acorde a las condiciones sociales, económicas y sanitarias generadas por la pandemia que se ha presentado en todo el mundo y que afecta a todos por igual, pero que tienen incidencia y consecuencias de mayor impacto en las familias de escasos recursos.</w:t>
      </w:r>
    </w:p>
    <w:p w14:paraId="2C134D5F" w14:textId="5C01B53B" w:rsidR="000B51C5" w:rsidRDefault="000B51C5" w:rsidP="000B51C5">
      <w:pPr>
        <w:spacing w:after="0" w:line="240" w:lineRule="auto"/>
        <w:jc w:val="both"/>
      </w:pPr>
    </w:p>
    <w:p w14:paraId="7B8BEEC1" w14:textId="77777777" w:rsidR="000B51C5" w:rsidRDefault="000B51C5" w:rsidP="000B51C5">
      <w:pPr>
        <w:spacing w:after="0" w:line="240" w:lineRule="auto"/>
        <w:jc w:val="both"/>
      </w:pPr>
      <w:r>
        <w:t xml:space="preserve">Estimamos que es necesario, en este momento, dar garantía de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 </w:t>
      </w:r>
    </w:p>
    <w:p w14:paraId="425359A0" w14:textId="77777777" w:rsidR="000B51C5" w:rsidRDefault="000B51C5" w:rsidP="000B51C5">
      <w:pPr>
        <w:spacing w:after="0" w:line="240" w:lineRule="auto"/>
        <w:jc w:val="both"/>
      </w:pPr>
    </w:p>
    <w:p w14:paraId="12A21E2D" w14:textId="39CB8456" w:rsidR="000B51C5" w:rsidRDefault="000B51C5" w:rsidP="000B51C5">
      <w:pPr>
        <w:spacing w:after="0" w:line="240" w:lineRule="auto"/>
        <w:jc w:val="both"/>
      </w:pPr>
      <w:r>
        <w:lastRenderedPageBreak/>
        <w:t>Por esta razón es que el SMAPAM se encuentra ante un reto que debe afrontar actuando de manera positiva, inteligente e inmediata, y en eso estamos centrándonos, en garantizar que se mantenga un buen nivel en la dotación de los servicios.</w:t>
      </w:r>
    </w:p>
    <w:p w14:paraId="706C7006" w14:textId="77777777" w:rsidR="000B51C5" w:rsidRDefault="000B51C5" w:rsidP="000B51C5">
      <w:pPr>
        <w:spacing w:after="0" w:line="240" w:lineRule="auto"/>
        <w:jc w:val="both"/>
      </w:pPr>
    </w:p>
    <w:p w14:paraId="0B12818E" w14:textId="77777777" w:rsidR="000B51C5" w:rsidRDefault="000B51C5" w:rsidP="000B51C5">
      <w:pPr>
        <w:spacing w:after="0" w:line="240" w:lineRule="auto"/>
        <w:jc w:val="both"/>
      </w:pPr>
      <w:r>
        <w:t>La mayor presencia de las familias dentro de su hogar, como consecuencia de las medidas de prevención que se recomiendan de forma general para tener menor riesgo de contagio, generan un gasto mayor de agua del que cotidianamente se venía registrando, pues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6000E34D" w14:textId="77777777" w:rsidR="000B51C5" w:rsidRDefault="000B51C5" w:rsidP="000B51C5">
      <w:pPr>
        <w:spacing w:after="0" w:line="240" w:lineRule="auto"/>
        <w:jc w:val="both"/>
      </w:pPr>
    </w:p>
    <w:p w14:paraId="1D1CDC17" w14:textId="77777777" w:rsidR="000B51C5" w:rsidRDefault="000B51C5" w:rsidP="000B51C5">
      <w:pPr>
        <w:spacing w:after="0" w:line="240" w:lineRule="auto"/>
        <w:jc w:val="both"/>
      </w:pPr>
      <w: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77340D08" w14:textId="77777777" w:rsidR="000B51C5" w:rsidRDefault="000B51C5" w:rsidP="000B51C5">
      <w:pPr>
        <w:spacing w:after="0" w:line="240" w:lineRule="auto"/>
        <w:jc w:val="both"/>
      </w:pPr>
    </w:p>
    <w:p w14:paraId="22E4F254" w14:textId="77777777" w:rsidR="000B51C5" w:rsidRDefault="000B51C5" w:rsidP="000B51C5">
      <w:pPr>
        <w:spacing w:after="0" w:line="240" w:lineRule="auto"/>
        <w:jc w:val="both"/>
      </w:pPr>
      <w:r>
        <w:t>La operación durante más horas, se traduce en un mayor gasto de energía eléctrica y consecuentemente una inversión económica que no estaba considerada dentro de los gastos programados para este año 2020, de tal forma que nuestro presupuesto de egresos se verá modificado en la medida que sigamos operando las fuentes de abastecimiento con horarios extendidos.</w:t>
      </w:r>
    </w:p>
    <w:p w14:paraId="44315542" w14:textId="77777777" w:rsidR="000B51C5" w:rsidRDefault="000B51C5" w:rsidP="000B51C5">
      <w:pPr>
        <w:spacing w:after="0" w:line="240" w:lineRule="auto"/>
        <w:jc w:val="both"/>
      </w:pPr>
    </w:p>
    <w:p w14:paraId="33A0AF87" w14:textId="77777777" w:rsidR="000B51C5" w:rsidRDefault="000B51C5" w:rsidP="000B51C5">
      <w:pPr>
        <w:spacing w:after="0" w:line="240" w:lineRule="auto"/>
        <w:jc w:val="both"/>
      </w:pPr>
      <w:r>
        <w:t>No solamente es el gasto de energía eléctrica el costo adicional que se presenta ante esta situación, también el gasto se refleja en el pago de los derechos de extracción que se tiene que hacer a la Comisión Nacional del Agua en cumplimiento a lo dispuesto por la Ley Federal de Derechos.</w:t>
      </w:r>
    </w:p>
    <w:p w14:paraId="367A8CC2" w14:textId="77777777" w:rsidR="000B51C5" w:rsidRDefault="000B51C5" w:rsidP="000B51C5">
      <w:pPr>
        <w:spacing w:after="0" w:line="240" w:lineRule="auto"/>
        <w:jc w:val="both"/>
      </w:pPr>
    </w:p>
    <w:p w14:paraId="1676C998" w14:textId="77777777" w:rsidR="000B51C5" w:rsidRDefault="000B51C5" w:rsidP="000B51C5">
      <w:pPr>
        <w:spacing w:after="0" w:line="240" w:lineRule="auto"/>
        <w:jc w:val="both"/>
      </w:pPr>
      <w:r>
        <w:t>A los dos gastos anteriormente citados, se suma el costo del personal que tiene que trabajar horas extras para poder responder a las necesidades de operación y mantenimiento generadas por el incremento en la demanda de los servicios.</w:t>
      </w:r>
    </w:p>
    <w:p w14:paraId="66207AE6" w14:textId="77777777" w:rsidR="000B51C5" w:rsidRDefault="000B51C5" w:rsidP="000B51C5">
      <w:pPr>
        <w:spacing w:after="0" w:line="240" w:lineRule="auto"/>
        <w:jc w:val="both"/>
      </w:pPr>
    </w:p>
    <w:p w14:paraId="0717A99E" w14:textId="77777777" w:rsidR="000B51C5" w:rsidRDefault="000B51C5" w:rsidP="000B51C5">
      <w:pPr>
        <w:spacing w:after="0" w:line="240" w:lineRule="auto"/>
        <w:jc w:val="both"/>
      </w:pPr>
      <w: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31D2C0A1" w14:textId="77777777" w:rsidR="000B51C5" w:rsidRDefault="000B51C5" w:rsidP="000B51C5">
      <w:pPr>
        <w:spacing w:after="0" w:line="240" w:lineRule="auto"/>
        <w:jc w:val="both"/>
      </w:pPr>
    </w:p>
    <w:p w14:paraId="7D34BD19" w14:textId="77777777" w:rsidR="000B51C5" w:rsidRDefault="000B51C5" w:rsidP="000B51C5">
      <w:pPr>
        <w:spacing w:after="0" w:line="240" w:lineRule="auto"/>
        <w:jc w:val="both"/>
      </w:pPr>
      <w: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6B475566" w14:textId="77777777" w:rsidR="000B51C5" w:rsidRDefault="000B51C5" w:rsidP="000B51C5">
      <w:pPr>
        <w:spacing w:after="0" w:line="240" w:lineRule="auto"/>
        <w:jc w:val="both"/>
      </w:pPr>
    </w:p>
    <w:p w14:paraId="2AA42ADC" w14:textId="77777777" w:rsidR="000B51C5" w:rsidRDefault="000B51C5" w:rsidP="000B51C5">
      <w:pPr>
        <w:spacing w:after="0" w:line="240" w:lineRule="auto"/>
        <w:jc w:val="both"/>
      </w:pPr>
      <w:r>
        <w:t>Estas familias que por alguna razón se ven imposibilitados de hacer el pago de sus servicios, deben seguir teniendo acceso a los servicios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w:t>
      </w:r>
    </w:p>
    <w:p w14:paraId="770CF6B0" w14:textId="77777777" w:rsidR="000B51C5" w:rsidRDefault="000B51C5" w:rsidP="000B51C5">
      <w:pPr>
        <w:spacing w:after="0" w:line="240" w:lineRule="auto"/>
        <w:jc w:val="both"/>
      </w:pPr>
    </w:p>
    <w:p w14:paraId="4760A3B1" w14:textId="77777777" w:rsidR="000B51C5" w:rsidRDefault="000B51C5" w:rsidP="000B51C5">
      <w:pPr>
        <w:spacing w:after="0" w:line="240" w:lineRule="auto"/>
        <w:jc w:val="both"/>
      </w:pPr>
      <w: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61748A8D" w14:textId="77777777" w:rsidR="000B51C5" w:rsidRDefault="000B51C5" w:rsidP="000B51C5">
      <w:pPr>
        <w:spacing w:after="0" w:line="240" w:lineRule="auto"/>
        <w:jc w:val="both"/>
      </w:pPr>
    </w:p>
    <w:p w14:paraId="4EF4277A" w14:textId="77777777" w:rsidR="000B51C5" w:rsidRDefault="000B51C5" w:rsidP="000B51C5">
      <w:pPr>
        <w:spacing w:after="0" w:line="240" w:lineRule="auto"/>
        <w:jc w:val="both"/>
      </w:pPr>
      <w: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079B4E83" w14:textId="77777777" w:rsidR="000B51C5" w:rsidRDefault="000B51C5" w:rsidP="000B51C5">
      <w:pPr>
        <w:spacing w:after="0" w:line="240" w:lineRule="auto"/>
        <w:jc w:val="both"/>
      </w:pPr>
    </w:p>
    <w:p w14:paraId="6C1FAD3C" w14:textId="77777777" w:rsidR="000B51C5" w:rsidRDefault="000B51C5" w:rsidP="000B51C5">
      <w:pPr>
        <w:spacing w:after="0" w:line="240" w:lineRule="auto"/>
        <w:jc w:val="both"/>
      </w:pPr>
      <w:r>
        <w:t>Lo anterior significa que dentro del plan de tarifas para el año 2021, se está proponiendo que se aplique solamente un incremento del 2% a las tarifas y de conservar la indexación del 0.8% bimestral, excepto para la cuota base doméstica y mixta, con lo cual se favorecería primordialmente a quienes tiene los consumos bajos. Equivalentes a veinte o menos metros cúbicos al bimestre y ahí se ubica el 62% de nuestro total de usuarios domésticos.</w:t>
      </w:r>
    </w:p>
    <w:p w14:paraId="1645D91A" w14:textId="77777777" w:rsidR="000B51C5" w:rsidRDefault="000B51C5" w:rsidP="000B51C5">
      <w:pPr>
        <w:spacing w:after="0" w:line="240" w:lineRule="auto"/>
        <w:jc w:val="both"/>
      </w:pPr>
    </w:p>
    <w:p w14:paraId="10A66921" w14:textId="77777777" w:rsidR="000B51C5" w:rsidRDefault="000B51C5" w:rsidP="000B51C5">
      <w:pPr>
        <w:spacing w:after="0" w:line="240" w:lineRule="auto"/>
        <w:jc w:val="both"/>
      </w:pPr>
      <w: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5B1BD0AF" w14:textId="77777777" w:rsidR="000B51C5" w:rsidRDefault="000B51C5" w:rsidP="000B51C5">
      <w:pPr>
        <w:spacing w:after="0" w:line="240" w:lineRule="auto"/>
        <w:jc w:val="both"/>
      </w:pPr>
    </w:p>
    <w:p w14:paraId="55219E2B" w14:textId="77777777" w:rsidR="000B51C5" w:rsidRDefault="000B51C5" w:rsidP="000B51C5">
      <w:pPr>
        <w:spacing w:after="0" w:line="240" w:lineRule="auto"/>
        <w:jc w:val="both"/>
      </w:pPr>
      <w:r>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la operación y en todo aquello que forma parte de los componentes materiales y humanos necesarios para seguir operando.</w:t>
      </w:r>
    </w:p>
    <w:p w14:paraId="05BDB43D" w14:textId="77777777" w:rsidR="000B51C5" w:rsidRDefault="000B51C5" w:rsidP="000B51C5">
      <w:pPr>
        <w:spacing w:after="0" w:line="240" w:lineRule="auto"/>
        <w:jc w:val="both"/>
      </w:pPr>
    </w:p>
    <w:p w14:paraId="59B828C1" w14:textId="77777777" w:rsidR="000B51C5" w:rsidRDefault="000B51C5" w:rsidP="000B51C5">
      <w:pPr>
        <w:spacing w:after="0" w:line="240" w:lineRule="auto"/>
        <w:jc w:val="both"/>
      </w:pPr>
      <w:r>
        <w:t>En este sentido es que proponemos que se mantenga la indexación del 0.8% bimestral y que compensaría parte de los incrementos que hayamos tenido en el transcurso de este año, y que se acentuarán conforme pasen los meses finales del 2020, pero tendrán efectos mayores para el año 2021 que es el periodo tal cual se está presentando esta iniciativa.</w:t>
      </w:r>
    </w:p>
    <w:p w14:paraId="09004E7B" w14:textId="77777777" w:rsidR="000B51C5" w:rsidRDefault="000B51C5" w:rsidP="000B51C5">
      <w:pPr>
        <w:spacing w:after="0" w:line="240" w:lineRule="auto"/>
        <w:jc w:val="both"/>
      </w:pPr>
    </w:p>
    <w:p w14:paraId="6BCF7A68" w14:textId="77777777" w:rsidR="000B51C5" w:rsidRDefault="000B51C5" w:rsidP="000B51C5">
      <w:pPr>
        <w:spacing w:after="0" w:line="240" w:lineRule="auto"/>
        <w:jc w:val="both"/>
      </w:pPr>
      <w:r>
        <w:t>En el análisis de costos que realizamos anualmente para ver los efectos que tiene en otro gasto corriente el incremento de los materiales e insumos para prestación del servicio, tenemos cuatro grupos de gastos perfectamente identificados; 1) el gasto en recursos humanos, 2) materiales y suministros para la operación y el mantenimiento, 3) energía eléctrica para la extracción, conducción y distribución del agua potable y 4) los derechos de extracción que se deben pagar a la Federación.</w:t>
      </w:r>
    </w:p>
    <w:p w14:paraId="1197CAB1" w14:textId="77777777" w:rsidR="000B51C5" w:rsidRDefault="000B51C5" w:rsidP="000B51C5">
      <w:pPr>
        <w:spacing w:after="0" w:line="240" w:lineRule="auto"/>
        <w:jc w:val="both"/>
      </w:pPr>
    </w:p>
    <w:p w14:paraId="6BC69ABA" w14:textId="074792CA" w:rsidR="00AB18C7" w:rsidRDefault="000B51C5" w:rsidP="000B51C5">
      <w:pPr>
        <w:spacing w:after="0" w:line="240" w:lineRule="auto"/>
        <w:jc w:val="both"/>
        <w:rPr>
          <w:rFonts w:cs="Calibri"/>
        </w:rPr>
      </w:pPr>
      <w:r>
        <w:t>Del análisis realizado observamos que el impacto neto de los costos fue del 6.7%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2021.</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lastRenderedPageBreak/>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D031BD1" w:rsidR="00F0348F" w:rsidRPr="00BC5342" w:rsidRDefault="00F0348F" w:rsidP="00F0348F">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lastRenderedPageBreak/>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B115E1D"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1B4957">
        <w:rPr>
          <w:rFonts w:cs="Calibri"/>
        </w:rPr>
        <w:t>2</w:t>
      </w:r>
      <w:r w:rsidR="00512F79">
        <w:rPr>
          <w:rFonts w:cs="Calibri"/>
        </w:rPr>
        <w:t>1</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2272464C" w:rsidR="00F0348F" w:rsidRPr="00E74967" w:rsidRDefault="00F0348F" w:rsidP="00F0348F">
      <w:pPr>
        <w:spacing w:after="0" w:line="240" w:lineRule="auto"/>
        <w:jc w:val="both"/>
        <w:rPr>
          <w:rFonts w:cs="Calibri"/>
        </w:rPr>
      </w:pPr>
      <w:r>
        <w:rPr>
          <w:rFonts w:cs="Calibri"/>
        </w:rPr>
        <w:t>Del 01 de enero al 31 de diciembre de 20</w:t>
      </w:r>
      <w:r w:rsidR="001B4957">
        <w:rPr>
          <w:rFonts w:cs="Calibri"/>
        </w:rPr>
        <w:t>2</w:t>
      </w:r>
      <w:r w:rsidR="00512F79">
        <w:rPr>
          <w:rFonts w:cs="Calibri"/>
        </w:rPr>
        <w:t>1</w:t>
      </w:r>
      <w:r>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Emisión y timbrado de CFDI’s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1A77EE4" w:rsidR="00CB41C4" w:rsidRDefault="00512F79" w:rsidP="004655BF">
      <w:pPr>
        <w:tabs>
          <w:tab w:val="left" w:leader="underscore" w:pos="9639"/>
        </w:tabs>
        <w:spacing w:after="0" w:line="240" w:lineRule="auto"/>
        <w:jc w:val="center"/>
        <w:rPr>
          <w:rFonts w:cs="Calibri"/>
        </w:rPr>
      </w:pPr>
      <w:r>
        <w:rPr>
          <w:rFonts w:cs="Calibri"/>
          <w:noProof/>
          <w:lang w:eastAsia="es-MX"/>
        </w:rPr>
        <w:lastRenderedPageBreak/>
        <w:drawing>
          <wp:inline distT="0" distB="0" distL="0" distR="0" wp14:anchorId="31BBC666" wp14:editId="6019EAD8">
            <wp:extent cx="6722186" cy="4030675"/>
            <wp:effectExtent l="0" t="0" r="254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746719" cy="4045385"/>
                    </a:xfrm>
                    <a:prstGeom prst="rect">
                      <a:avLst/>
                    </a:prstGeom>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5829C8"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512F79">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4F70C63E"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74B78CE2" w:rsidR="007D1E76" w:rsidRPr="00E74967" w:rsidRDefault="00512F79"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170034E9" w:rsidR="007D1E76" w:rsidRPr="00E74967" w:rsidRDefault="00512F79"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4D811E7C" w:rsidR="007D1E76" w:rsidRPr="00E74967" w:rsidRDefault="00512F79" w:rsidP="00CB41C4">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208C62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bookmarkStart w:id="10" w:name="_MON_1679905440"/>
    <w:bookmarkEnd w:id="10"/>
    <w:p w14:paraId="6CAD4E54" w14:textId="0D5E7538" w:rsidR="007D1E76" w:rsidRPr="00E74967" w:rsidRDefault="007871F3" w:rsidP="00CB41C4">
      <w:pPr>
        <w:tabs>
          <w:tab w:val="left" w:leader="underscore" w:pos="9639"/>
        </w:tabs>
        <w:spacing w:after="0" w:line="240" w:lineRule="auto"/>
        <w:jc w:val="both"/>
        <w:rPr>
          <w:rFonts w:cs="Calibri"/>
        </w:rPr>
      </w:pPr>
      <w:r>
        <w:rPr>
          <w:rFonts w:cs="Calibri"/>
        </w:rPr>
        <w:object w:dxaOrig="7998" w:dyaOrig="1472" w14:anchorId="66AA3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99.75pt;height:73.5pt" o:ole="">
            <v:imagedata r:id="rId13" o:title=""/>
          </v:shape>
          <o:OLEObject Type="Embed" ProgID="Excel.Sheet.12" ShapeID="_x0000_i1031" DrawAspect="Content" ObjectID="_1703500065"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01675B58"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w:t>
      </w:r>
      <w:r w:rsidR="009E2360">
        <w:rPr>
          <w:rFonts w:cs="Calibri"/>
        </w:rPr>
        <w:t>d</w:t>
      </w:r>
      <w:r w:rsidRPr="00E74967">
        <w:rPr>
          <w:rFonts w:cs="Calibri"/>
        </w:rPr>
        <w:t>e ingresos en el mediano plazo:</w:t>
      </w:r>
    </w:p>
    <w:bookmarkStart w:id="11" w:name="_MON_1679905944"/>
    <w:bookmarkEnd w:id="11"/>
    <w:p w14:paraId="533390F5" w14:textId="26E4FA00" w:rsidR="007D1E76" w:rsidRPr="00E74967" w:rsidRDefault="00697F4D" w:rsidP="00CB41C4">
      <w:pPr>
        <w:tabs>
          <w:tab w:val="left" w:leader="underscore" w:pos="9639"/>
        </w:tabs>
        <w:spacing w:after="0" w:line="240" w:lineRule="auto"/>
        <w:jc w:val="both"/>
        <w:rPr>
          <w:rFonts w:cs="Calibri"/>
        </w:rPr>
      </w:pPr>
      <w:r>
        <w:rPr>
          <w:rFonts w:cs="Calibri"/>
        </w:rPr>
        <w:object w:dxaOrig="7998" w:dyaOrig="1472" w14:anchorId="22CAC38C">
          <v:shape id="_x0000_i1026" type="#_x0000_t75" style="width:399.75pt;height:73.5pt" o:ole="">
            <v:imagedata r:id="rId15" o:title=""/>
          </v:shape>
          <o:OLEObject Type="Embed" ProgID="Excel.Sheet.12" ShapeID="_x0000_i1026" DrawAspect="Content" ObjectID="_1703500066"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6D640994"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1D0603D" w14:textId="77777777" w:rsidR="0038438B" w:rsidRPr="00E74967" w:rsidRDefault="0038438B" w:rsidP="00CB41C4">
      <w:pPr>
        <w:tabs>
          <w:tab w:val="left" w:leader="underscore" w:pos="9639"/>
        </w:tabs>
        <w:spacing w:after="0" w:line="240" w:lineRule="auto"/>
        <w:jc w:val="both"/>
        <w:rPr>
          <w:rFonts w:cs="Calibri"/>
        </w:rPr>
      </w:pPr>
    </w:p>
    <w:p w14:paraId="5FD43505" w14:textId="09A76999" w:rsidR="007D1E76" w:rsidRPr="00E74967" w:rsidRDefault="00287840"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39914D0" w:rsidR="007D1E76" w:rsidRPr="00E74967" w:rsidRDefault="00D813AA"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11751394" w:rsidR="007D1E76" w:rsidRPr="00E74967" w:rsidRDefault="00697F4D" w:rsidP="00CB41C4">
      <w:pPr>
        <w:tabs>
          <w:tab w:val="left" w:leader="underscore" w:pos="9639"/>
        </w:tabs>
        <w:spacing w:after="0" w:line="240" w:lineRule="auto"/>
        <w:jc w:val="both"/>
        <w:rPr>
          <w:rFonts w:cs="Calibri"/>
        </w:rPr>
      </w:pPr>
      <w:r>
        <w:rPr>
          <w:rFonts w:cs="Calibri"/>
        </w:rPr>
        <w:t>Ahorro en las partidas del presupuesto.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6D7B5389"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2DA9943" w14:textId="77777777" w:rsidR="00DF7F1A" w:rsidRDefault="00DF7F1A" w:rsidP="00CB41C4">
      <w:pPr>
        <w:tabs>
          <w:tab w:val="left" w:leader="underscore" w:pos="9639"/>
        </w:tabs>
        <w:spacing w:after="0" w:line="240" w:lineRule="auto"/>
        <w:jc w:val="both"/>
        <w:rPr>
          <w:rFonts w:cs="Calibri"/>
        </w:rPr>
      </w:pPr>
    </w:p>
    <w:p w14:paraId="3E79C11C" w14:textId="27B2F6ED" w:rsidR="006F7446" w:rsidRDefault="006F7446" w:rsidP="00CB41C4">
      <w:pPr>
        <w:tabs>
          <w:tab w:val="left" w:leader="underscore" w:pos="9639"/>
        </w:tabs>
        <w:spacing w:after="0" w:line="240" w:lineRule="auto"/>
        <w:jc w:val="both"/>
        <w:rPr>
          <w:rFonts w:cs="Calibri"/>
        </w:rPr>
      </w:pPr>
      <w:r w:rsidRPr="006F7446">
        <w:rPr>
          <w:rFonts w:ascii="Arial" w:eastAsia="Times New Roman" w:hAnsi="Arial" w:cs="Arial"/>
          <w:b/>
          <w:bCs/>
          <w:sz w:val="16"/>
          <w:szCs w:val="16"/>
          <w:lang w:eastAsia="es-MX"/>
        </w:rPr>
        <w:t>" Bajo protesta de decir verdad declaramos que los Estados Fi</w:t>
      </w:r>
      <w:r>
        <w:rPr>
          <w:rFonts w:ascii="Arial" w:eastAsia="Times New Roman" w:hAnsi="Arial" w:cs="Arial"/>
          <w:b/>
          <w:bCs/>
          <w:sz w:val="16"/>
          <w:szCs w:val="16"/>
          <w:lang w:eastAsia="es-MX"/>
        </w:rPr>
        <w:t>n</w:t>
      </w:r>
      <w:r w:rsidRPr="006F7446">
        <w:rPr>
          <w:rFonts w:ascii="Arial" w:eastAsia="Times New Roman" w:hAnsi="Arial" w:cs="Arial"/>
          <w:b/>
          <w:bCs/>
          <w:sz w:val="16"/>
          <w:szCs w:val="16"/>
          <w:lang w:eastAsia="es-MX"/>
        </w:rPr>
        <w:t>ancieros y sus notas, son razonablemente correctos y son responsabilidad del emisor ".</w:t>
      </w:r>
    </w:p>
    <w:p w14:paraId="5FF22723" w14:textId="77777777" w:rsidR="006F7446" w:rsidRDefault="006F7446" w:rsidP="00CB41C4">
      <w:pPr>
        <w:tabs>
          <w:tab w:val="left" w:leader="underscore" w:pos="9639"/>
        </w:tabs>
        <w:spacing w:after="0" w:line="240" w:lineRule="auto"/>
        <w:jc w:val="both"/>
        <w:rPr>
          <w:rFonts w:cs="Calibri"/>
        </w:rPr>
      </w:pPr>
    </w:p>
    <w:p w14:paraId="55E9A670" w14:textId="77777777" w:rsidR="006F7446" w:rsidRDefault="006F7446" w:rsidP="00CB41C4">
      <w:pPr>
        <w:tabs>
          <w:tab w:val="left" w:leader="underscore" w:pos="9639"/>
        </w:tabs>
        <w:spacing w:after="0" w:line="240" w:lineRule="auto"/>
        <w:jc w:val="both"/>
        <w:rPr>
          <w:rFonts w:cs="Calibri"/>
        </w:rPr>
      </w:pPr>
    </w:p>
    <w:sectPr w:rsidR="006F744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D642" w14:textId="77777777" w:rsidR="00780512" w:rsidRDefault="00780512" w:rsidP="00E00323">
      <w:pPr>
        <w:spacing w:after="0" w:line="240" w:lineRule="auto"/>
      </w:pPr>
      <w:r>
        <w:separator/>
      </w:r>
    </w:p>
  </w:endnote>
  <w:endnote w:type="continuationSeparator" w:id="0">
    <w:p w14:paraId="38EA11E1" w14:textId="77777777" w:rsidR="00780512" w:rsidRDefault="0078051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36F9B" w:rsidRPr="00336F9B">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507D4" w14:textId="77777777" w:rsidR="00780512" w:rsidRDefault="00780512" w:rsidP="00E00323">
      <w:pPr>
        <w:spacing w:after="0" w:line="240" w:lineRule="auto"/>
      </w:pPr>
      <w:r>
        <w:separator/>
      </w:r>
    </w:p>
  </w:footnote>
  <w:footnote w:type="continuationSeparator" w:id="0">
    <w:p w14:paraId="5B227BC2" w14:textId="77777777" w:rsidR="00780512" w:rsidRDefault="0078051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7C9C959D" w:rsidR="00154BA3" w:rsidRDefault="007243F9" w:rsidP="00A4610E">
    <w:pPr>
      <w:pStyle w:val="Encabezado"/>
      <w:spacing w:after="0" w:line="240" w:lineRule="auto"/>
      <w:jc w:val="center"/>
    </w:pPr>
    <w:r>
      <w:t>SISTEMA MUNICIPAL DE AGUA POTABLE Y ALCANTARILLADO DE MOROLEON</w:t>
    </w:r>
  </w:p>
  <w:p w14:paraId="651A4C4F" w14:textId="6C5BAAD6" w:rsidR="00A4610E" w:rsidRDefault="00A4610E" w:rsidP="00A4610E">
    <w:pPr>
      <w:pStyle w:val="Encabezado"/>
      <w:spacing w:after="0" w:line="240" w:lineRule="auto"/>
      <w:jc w:val="center"/>
    </w:pPr>
    <w:r w:rsidRPr="00A4610E">
      <w:t xml:space="preserve">CORRESPONDINTES AL </w:t>
    </w:r>
    <w:r w:rsidR="00BB2462">
      <w:t>20</w:t>
    </w:r>
    <w:r w:rsidR="001B4957">
      <w:t>2</w:t>
    </w:r>
    <w:r w:rsidR="00703F0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472F"/>
    <w:rsid w:val="00040D4F"/>
    <w:rsid w:val="00084EAE"/>
    <w:rsid w:val="00091CE6"/>
    <w:rsid w:val="000B51C5"/>
    <w:rsid w:val="000B586D"/>
    <w:rsid w:val="000B7810"/>
    <w:rsid w:val="000C28F5"/>
    <w:rsid w:val="000C3365"/>
    <w:rsid w:val="000E03DC"/>
    <w:rsid w:val="0012405A"/>
    <w:rsid w:val="00154BA3"/>
    <w:rsid w:val="001973A2"/>
    <w:rsid w:val="001B4957"/>
    <w:rsid w:val="001C75F2"/>
    <w:rsid w:val="001D2063"/>
    <w:rsid w:val="001D43E9"/>
    <w:rsid w:val="00203321"/>
    <w:rsid w:val="00287840"/>
    <w:rsid w:val="0029349B"/>
    <w:rsid w:val="00297A8D"/>
    <w:rsid w:val="002D7B05"/>
    <w:rsid w:val="002E29A3"/>
    <w:rsid w:val="00336F9B"/>
    <w:rsid w:val="003453CA"/>
    <w:rsid w:val="0038438B"/>
    <w:rsid w:val="00435A87"/>
    <w:rsid w:val="004655BF"/>
    <w:rsid w:val="00474A7C"/>
    <w:rsid w:val="004A58C8"/>
    <w:rsid w:val="004F234D"/>
    <w:rsid w:val="00512F79"/>
    <w:rsid w:val="00541C0B"/>
    <w:rsid w:val="0054701E"/>
    <w:rsid w:val="005B5531"/>
    <w:rsid w:val="005D3E43"/>
    <w:rsid w:val="005E231E"/>
    <w:rsid w:val="00657009"/>
    <w:rsid w:val="00681C79"/>
    <w:rsid w:val="006858E5"/>
    <w:rsid w:val="00697931"/>
    <w:rsid w:val="00697D03"/>
    <w:rsid w:val="00697F4D"/>
    <w:rsid w:val="006B6B61"/>
    <w:rsid w:val="006F7446"/>
    <w:rsid w:val="00703F06"/>
    <w:rsid w:val="007243F9"/>
    <w:rsid w:val="007610BC"/>
    <w:rsid w:val="007714AB"/>
    <w:rsid w:val="00772ABE"/>
    <w:rsid w:val="00780512"/>
    <w:rsid w:val="007871F3"/>
    <w:rsid w:val="007D1E76"/>
    <w:rsid w:val="007D4484"/>
    <w:rsid w:val="008121EC"/>
    <w:rsid w:val="00836B31"/>
    <w:rsid w:val="00855AC1"/>
    <w:rsid w:val="0086459F"/>
    <w:rsid w:val="008C3BB8"/>
    <w:rsid w:val="008E076C"/>
    <w:rsid w:val="008E36FE"/>
    <w:rsid w:val="0092765C"/>
    <w:rsid w:val="00980013"/>
    <w:rsid w:val="009E2360"/>
    <w:rsid w:val="00A4610E"/>
    <w:rsid w:val="00A730E0"/>
    <w:rsid w:val="00AA41E5"/>
    <w:rsid w:val="00AB18C7"/>
    <w:rsid w:val="00AB722B"/>
    <w:rsid w:val="00AD1B45"/>
    <w:rsid w:val="00AE1F6A"/>
    <w:rsid w:val="00B02838"/>
    <w:rsid w:val="00B37392"/>
    <w:rsid w:val="00B9775D"/>
    <w:rsid w:val="00BB2462"/>
    <w:rsid w:val="00BE38D2"/>
    <w:rsid w:val="00C01433"/>
    <w:rsid w:val="00C97E1E"/>
    <w:rsid w:val="00CB41C4"/>
    <w:rsid w:val="00CF1316"/>
    <w:rsid w:val="00D0186D"/>
    <w:rsid w:val="00D13C44"/>
    <w:rsid w:val="00D1623B"/>
    <w:rsid w:val="00D374B2"/>
    <w:rsid w:val="00D74D5A"/>
    <w:rsid w:val="00D80071"/>
    <w:rsid w:val="00D813AA"/>
    <w:rsid w:val="00D975B1"/>
    <w:rsid w:val="00DF7F1A"/>
    <w:rsid w:val="00E00323"/>
    <w:rsid w:val="00E466C0"/>
    <w:rsid w:val="00E74967"/>
    <w:rsid w:val="00E7559F"/>
    <w:rsid w:val="00E85EB2"/>
    <w:rsid w:val="00EA0C17"/>
    <w:rsid w:val="00EA37F5"/>
    <w:rsid w:val="00EA7915"/>
    <w:rsid w:val="00F0348F"/>
    <w:rsid w:val="00F40A91"/>
    <w:rsid w:val="00F46719"/>
    <w:rsid w:val="00F54F6F"/>
    <w:rsid w:val="00F65A92"/>
    <w:rsid w:val="00FB3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D6C962D9-8EEB-4BA0-8E70-A63908D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D5CB116E-EF2A-4777-BDE7-CF3C588E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3955</Words>
  <Characters>21755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SMAPAM SMAPAM</cp:lastModifiedBy>
  <cp:revision>41</cp:revision>
  <cp:lastPrinted>2019-10-14T13:48:00Z</cp:lastPrinted>
  <dcterms:created xsi:type="dcterms:W3CDTF">2017-01-12T05:27:00Z</dcterms:created>
  <dcterms:modified xsi:type="dcterms:W3CDTF">2022-01-12T19:41:00Z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