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0048C7CD"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3A23B8"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3A23B8">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3A23B8">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3A23B8">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3A23B8">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3A23B8">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3A23B8">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3A23B8">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3A23B8">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3A23B8">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3A23B8">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3A23B8">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3A23B8">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3A23B8">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3A23B8">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3A23B8">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3A23B8">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0F956B1F" w14:textId="221BCEEB"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rsidR="00D1623B">
        <w:t>9</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1EECABC5"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 xml:space="preserve">2018 </w:t>
      </w:r>
      <w:r w:rsidRPr="006769B6">
        <w:t xml:space="preserve">y que </w:t>
      </w:r>
      <w:r w:rsidR="00D1623B">
        <w:t xml:space="preserve">se </w:t>
      </w:r>
      <w:r w:rsidRPr="006769B6">
        <w:t>habrán de reflejar en los montos del 201</w:t>
      </w:r>
      <w:r w:rsidR="00D1623B">
        <w:t>9</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1946471"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D1623B">
        <w:t>6</w:t>
      </w:r>
      <w:r w:rsidRPr="006769B6">
        <w:rPr>
          <w:noProof/>
        </w:rPr>
        <w:t>.</w:t>
      </w:r>
      <w:r w:rsidR="00D1623B">
        <w:rPr>
          <w:noProof/>
        </w:rPr>
        <w:t>8</w:t>
      </w:r>
      <w:r>
        <w:rPr>
          <w:noProof/>
        </w:rPr>
        <w:t>2</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3255D3C2"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.7</w:t>
      </w:r>
      <w:r w:rsidR="00D1623B">
        <w:rPr>
          <w:noProof/>
        </w:rPr>
        <w:t>1</w:t>
      </w:r>
      <w:r w:rsidRPr="006769B6">
        <w:rPr>
          <w:noProof/>
        </w:rPr>
        <w:t>%</w:t>
      </w:r>
    </w:p>
    <w:p w14:paraId="7912243C" w14:textId="025A1288"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D1623B">
        <w:rPr>
          <w:noProof/>
        </w:rPr>
        <w:t>0</w:t>
      </w:r>
      <w:r w:rsidRPr="006769B6">
        <w:rPr>
          <w:noProof/>
        </w:rPr>
        <w:t>3%</w:t>
      </w:r>
    </w:p>
    <w:p w14:paraId="4804FAD9" w14:textId="6B298322"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Pr="006769B6">
        <w:rPr>
          <w:noProof/>
        </w:rPr>
        <w:t>2.</w:t>
      </w:r>
      <w:r w:rsidR="00D1623B">
        <w:rPr>
          <w:noProof/>
        </w:rPr>
        <w:t>77</w:t>
      </w:r>
      <w:r w:rsidRPr="006769B6">
        <w:rPr>
          <w:noProof/>
        </w:rPr>
        <w:t>%</w:t>
      </w:r>
    </w:p>
    <w:p w14:paraId="021823CA" w14:textId="39DE4C7B"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D1623B">
        <w:rPr>
          <w:noProof/>
        </w:rPr>
        <w:t>31</w:t>
      </w:r>
      <w:r>
        <w:rPr>
          <w:noProof/>
        </w:rPr>
        <w:t>%</w:t>
      </w:r>
    </w:p>
    <w:p w14:paraId="73219E66" w14:textId="77777777" w:rsidR="00AB18C7" w:rsidRDefault="00AB18C7" w:rsidP="00AB18C7">
      <w:pPr>
        <w:spacing w:after="0" w:line="240" w:lineRule="auto"/>
        <w:jc w:val="both"/>
      </w:pPr>
    </w:p>
    <w:p w14:paraId="6BC69ABA" w14:textId="59C66CF9"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D1623B">
        <w:t>6</w:t>
      </w:r>
      <w:r w:rsidRPr="006769B6">
        <w:rPr>
          <w:noProof/>
        </w:rPr>
        <w:t>.</w:t>
      </w:r>
      <w:r w:rsidR="00D1623B">
        <w:rPr>
          <w:noProof/>
        </w:rPr>
        <w:t>8</w:t>
      </w:r>
      <w:r>
        <w:rPr>
          <w:noProof/>
        </w:rPr>
        <w:t>2</w:t>
      </w:r>
      <w:r w:rsidRPr="006769B6">
        <w:rPr>
          <w:noProof/>
        </w:rPr>
        <w:t xml:space="preserve">% </w:t>
      </w:r>
      <w:r w:rsidRPr="006769B6">
        <w:t>es un factor plenamente justificado para aplicarse como incremento a las tarifas para el año 201</w:t>
      </w:r>
      <w:r w:rsidR="00D1623B">
        <w:t>9</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61CDA23E" w:rsidR="00F0348F" w:rsidRPr="00E74967" w:rsidRDefault="00F0348F" w:rsidP="00F0348F">
      <w:pPr>
        <w:spacing w:after="0" w:line="240" w:lineRule="auto"/>
        <w:jc w:val="both"/>
        <w:rPr>
          <w:rFonts w:cs="Calibri"/>
        </w:rPr>
      </w:pPr>
      <w:r>
        <w:rPr>
          <w:rFonts w:cs="Calibri"/>
        </w:rPr>
        <w:t>Del 01 de enero al 31 de diciembre de 2019.</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3A23B8">
      <w:pPr>
        <w:tabs>
          <w:tab w:val="left" w:leader="underscore" w:pos="9639"/>
        </w:tabs>
        <w:spacing w:after="0" w:line="240" w:lineRule="auto"/>
        <w:jc w:val="center"/>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bookmarkStart w:id="4" w:name="_GoBack"/>
      <w:bookmarkEnd w:id="4"/>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4E634506" w14:textId="77777777" w:rsidR="00474A7C" w:rsidRDefault="00474A7C"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B36C1" w14:textId="77777777" w:rsidR="005130D0" w:rsidRDefault="005130D0" w:rsidP="00E00323">
      <w:pPr>
        <w:spacing w:after="0" w:line="240" w:lineRule="auto"/>
      </w:pPr>
      <w:r>
        <w:separator/>
      </w:r>
    </w:p>
  </w:endnote>
  <w:endnote w:type="continuationSeparator" w:id="0">
    <w:p w14:paraId="389F6BFE" w14:textId="77777777" w:rsidR="005130D0" w:rsidRDefault="005130D0"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3A23B8" w:rsidRPr="003A23B8">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AB659" w14:textId="77777777" w:rsidR="005130D0" w:rsidRDefault="005130D0" w:rsidP="00E00323">
      <w:pPr>
        <w:spacing w:after="0" w:line="240" w:lineRule="auto"/>
      </w:pPr>
      <w:r>
        <w:separator/>
      </w:r>
    </w:p>
  </w:footnote>
  <w:footnote w:type="continuationSeparator" w:id="0">
    <w:p w14:paraId="6ED04881" w14:textId="77777777" w:rsidR="005130D0" w:rsidRDefault="005130D0"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511FCA7" w:rsidR="00154BA3" w:rsidRDefault="00BB2462" w:rsidP="00A4610E">
    <w:pPr>
      <w:pStyle w:val="Encabezado"/>
      <w:spacing w:after="0" w:line="240" w:lineRule="auto"/>
      <w:jc w:val="center"/>
    </w:pPr>
    <w:r>
      <w:t>Sistema Municipal de Agua Potable y Alcantarillado de Moroleón</w:t>
    </w:r>
  </w:p>
  <w:p w14:paraId="651A4C4F" w14:textId="6AAB5888" w:rsidR="00A4610E" w:rsidRDefault="00A4610E" w:rsidP="00A4610E">
    <w:pPr>
      <w:pStyle w:val="Encabezado"/>
      <w:spacing w:after="0" w:line="240" w:lineRule="auto"/>
      <w:jc w:val="center"/>
    </w:pPr>
    <w:r w:rsidRPr="00A4610E">
      <w:t xml:space="preserve">CORRESPONDINTES AL </w:t>
    </w:r>
    <w:r w:rsidR="00BB2462">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24780E"/>
    <w:rsid w:val="00297A8D"/>
    <w:rsid w:val="003453CA"/>
    <w:rsid w:val="003510F8"/>
    <w:rsid w:val="003A23B8"/>
    <w:rsid w:val="00435A87"/>
    <w:rsid w:val="00474A7C"/>
    <w:rsid w:val="004A58C8"/>
    <w:rsid w:val="004D04AC"/>
    <w:rsid w:val="004F234D"/>
    <w:rsid w:val="005130D0"/>
    <w:rsid w:val="0054701E"/>
    <w:rsid w:val="005B5531"/>
    <w:rsid w:val="005D3E43"/>
    <w:rsid w:val="005E231E"/>
    <w:rsid w:val="00657009"/>
    <w:rsid w:val="00681C79"/>
    <w:rsid w:val="007610BC"/>
    <w:rsid w:val="007714AB"/>
    <w:rsid w:val="007D1E76"/>
    <w:rsid w:val="007D4484"/>
    <w:rsid w:val="00836B31"/>
    <w:rsid w:val="00841992"/>
    <w:rsid w:val="0086459F"/>
    <w:rsid w:val="008C3BB8"/>
    <w:rsid w:val="008E076C"/>
    <w:rsid w:val="0092765C"/>
    <w:rsid w:val="00980B9C"/>
    <w:rsid w:val="00A4610E"/>
    <w:rsid w:val="00A730E0"/>
    <w:rsid w:val="00AA41E5"/>
    <w:rsid w:val="00AB18C7"/>
    <w:rsid w:val="00AB722B"/>
    <w:rsid w:val="00AE1F6A"/>
    <w:rsid w:val="00B02838"/>
    <w:rsid w:val="00B37392"/>
    <w:rsid w:val="00BB2462"/>
    <w:rsid w:val="00C6509D"/>
    <w:rsid w:val="00C97E1E"/>
    <w:rsid w:val="00CB41C4"/>
    <w:rsid w:val="00CF1316"/>
    <w:rsid w:val="00D13C44"/>
    <w:rsid w:val="00D1623B"/>
    <w:rsid w:val="00D374B2"/>
    <w:rsid w:val="00D975B1"/>
    <w:rsid w:val="00E00323"/>
    <w:rsid w:val="00E74967"/>
    <w:rsid w:val="00E7559F"/>
    <w:rsid w:val="00EA37F5"/>
    <w:rsid w:val="00EA5CD6"/>
    <w:rsid w:val="00EA7915"/>
    <w:rsid w:val="00F0348F"/>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9C847EAD-1D42-41C8-90AF-99B78DB0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13</Pages>
  <Words>3434</Words>
  <Characters>18890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22280</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Contabilidad</cp:lastModifiedBy>
  <cp:revision>24</cp:revision>
  <dcterms:created xsi:type="dcterms:W3CDTF">2017-01-12T05:27:00Z</dcterms:created>
  <dcterms:modified xsi:type="dcterms:W3CDTF">2020-01-21T18:50:00Z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